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83D860" w14:textId="77777777" w:rsidR="00552D6A" w:rsidRDefault="00552D6A" w:rsidP="00552D6A">
      <w:pPr>
        <w:pStyle w:val="CRCoverPage"/>
        <w:tabs>
          <w:tab w:val="right" w:pos="9639"/>
        </w:tabs>
        <w:spacing w:after="0"/>
        <w:rPr>
          <w:b/>
          <w:sz w:val="24"/>
        </w:rPr>
      </w:pPr>
    </w:p>
    <w:p w14:paraId="1B10BC5C" w14:textId="77777777" w:rsidR="00552D6A" w:rsidRPr="002004CC" w:rsidRDefault="00552D6A" w:rsidP="00552D6A">
      <w:pPr>
        <w:tabs>
          <w:tab w:val="left" w:pos="2127"/>
        </w:tabs>
        <w:ind w:left="2131" w:hanging="2131"/>
        <w:jc w:val="both"/>
        <w:rPr>
          <w:b/>
          <w:sz w:val="24"/>
        </w:rPr>
      </w:pPr>
      <w:r w:rsidRPr="006F2942">
        <w:rPr>
          <w:b/>
          <w:sz w:val="24"/>
        </w:rPr>
        <w:t>Source:</w:t>
      </w:r>
      <w:r w:rsidRPr="006F2942">
        <w:rPr>
          <w:b/>
          <w:sz w:val="24"/>
        </w:rPr>
        <w:tab/>
        <w:t>HEAD acoustics GmbH</w:t>
      </w:r>
    </w:p>
    <w:p w14:paraId="6C16D4F5" w14:textId="74AD5B25" w:rsidR="00552D6A" w:rsidRPr="006F2942" w:rsidRDefault="00552D6A" w:rsidP="00552D6A">
      <w:pPr>
        <w:tabs>
          <w:tab w:val="left" w:pos="2127"/>
        </w:tabs>
        <w:ind w:left="2131" w:hanging="2131"/>
        <w:jc w:val="both"/>
        <w:rPr>
          <w:b/>
          <w:sz w:val="24"/>
          <w:lang w:eastAsia="zh-CN"/>
        </w:rPr>
      </w:pPr>
      <w:r w:rsidRPr="006F2942">
        <w:rPr>
          <w:b/>
          <w:sz w:val="24"/>
        </w:rPr>
        <w:t>Title:</w:t>
      </w:r>
      <w:r w:rsidRPr="006F2942">
        <w:rPr>
          <w:b/>
          <w:sz w:val="24"/>
        </w:rPr>
        <w:tab/>
      </w:r>
      <w:r w:rsidR="00080B6C" w:rsidRPr="00080B6C">
        <w:rPr>
          <w:b/>
          <w:sz w:val="24"/>
        </w:rPr>
        <w:t>Wind noise generation for terminals</w:t>
      </w:r>
    </w:p>
    <w:p w14:paraId="42F4BC68" w14:textId="77777777" w:rsidR="00552D6A" w:rsidRPr="006F2942" w:rsidRDefault="00552D6A" w:rsidP="00552D6A">
      <w:pPr>
        <w:pBdr>
          <w:bottom w:val="single" w:sz="12" w:space="1" w:color="auto"/>
        </w:pBdr>
        <w:tabs>
          <w:tab w:val="left" w:pos="2127"/>
        </w:tabs>
        <w:ind w:left="2131" w:hanging="2131"/>
        <w:jc w:val="both"/>
        <w:rPr>
          <w:b/>
          <w:sz w:val="24"/>
        </w:rPr>
      </w:pPr>
      <w:r w:rsidRPr="006F2942">
        <w:rPr>
          <w:b/>
          <w:sz w:val="24"/>
        </w:rPr>
        <w:t>Document for:</w:t>
      </w:r>
      <w:r w:rsidRPr="006F2942">
        <w:rPr>
          <w:b/>
          <w:sz w:val="24"/>
        </w:rPr>
        <w:tab/>
        <w:t>Discussion</w:t>
      </w:r>
    </w:p>
    <w:p w14:paraId="714440C3" w14:textId="4720AE0A" w:rsidR="00DA7FD6" w:rsidRDefault="00DA7FD6" w:rsidP="001C6466"/>
    <w:p w14:paraId="5C22A132" w14:textId="77777777" w:rsidR="00552D6A" w:rsidRDefault="00552D6A" w:rsidP="00552D6A">
      <w:pPr>
        <w:pStyle w:val="Heading1"/>
      </w:pPr>
      <w:r>
        <w:t>Introduction</w:t>
      </w:r>
    </w:p>
    <w:p w14:paraId="60011C3F" w14:textId="2183069D" w:rsidR="00B36347" w:rsidRDefault="00E966D8" w:rsidP="00F860B0">
      <w:r>
        <w:t xml:space="preserve">In </w:t>
      </w:r>
      <w:sdt>
        <w:sdtPr>
          <w:id w:val="231825464"/>
          <w:citation/>
        </w:sdtPr>
        <w:sdtContent>
          <w:r>
            <w:fldChar w:fldCharType="begin"/>
          </w:r>
          <w:r w:rsidR="002937E9">
            <w:instrText xml:space="preserve">CITATION 3GPPSA4S4221353 \l 2057 </w:instrText>
          </w:r>
          <w:r>
            <w:fldChar w:fldCharType="separate"/>
          </w:r>
          <w:r w:rsidR="002937E9">
            <w:rPr>
              <w:noProof/>
            </w:rPr>
            <w:t>[1]</w:t>
          </w:r>
          <w:r>
            <w:fldChar w:fldCharType="end"/>
          </w:r>
        </w:sdtContent>
      </w:sdt>
      <w:r>
        <w:t xml:space="preserve">, it was recently proposed to add wind noise tests for terminals in the context of ATIAS. Reasons for wind tests in general were given and a draft of a wind noise test method was provided. </w:t>
      </w:r>
      <w:r w:rsidR="00B36347">
        <w:t xml:space="preserve">The proposal refers to ETSI TS 103 640 </w:t>
      </w:r>
      <w:sdt>
        <w:sdtPr>
          <w:id w:val="297499237"/>
          <w:citation/>
        </w:sdtPr>
        <w:sdtContent>
          <w:r w:rsidR="00B36347">
            <w:fldChar w:fldCharType="begin"/>
          </w:r>
          <w:r w:rsidR="00B36347">
            <w:instrText xml:space="preserve"> CITATION ETSITS103640v121 \l 2057 </w:instrText>
          </w:r>
          <w:r w:rsidR="00B36347">
            <w:fldChar w:fldCharType="separate"/>
          </w:r>
          <w:r w:rsidR="002937E9">
            <w:rPr>
              <w:noProof/>
            </w:rPr>
            <w:t>[2]</w:t>
          </w:r>
          <w:r w:rsidR="00B36347">
            <w:fldChar w:fldCharType="end"/>
          </w:r>
        </w:sdtContent>
      </w:sdt>
      <w:r w:rsidR="00B36347">
        <w:t xml:space="preserve">, where </w:t>
      </w:r>
      <w:r w:rsidR="00F860B0">
        <w:t>a new clause on test methods for the evaluation of wind noise insertion gains was introduced</w:t>
      </w:r>
      <w:r w:rsidR="00B36347">
        <w:t xml:space="preserve"> in version 1.2.1</w:t>
      </w:r>
      <w:r w:rsidR="00F455E8">
        <w:t>.</w:t>
      </w:r>
    </w:p>
    <w:p w14:paraId="7F1D004A" w14:textId="47F22A08" w:rsidR="00D34A45" w:rsidRDefault="00B36347" w:rsidP="00F860B0">
      <w:r>
        <w:t xml:space="preserve">In </w:t>
      </w:r>
      <w:sdt>
        <w:sdtPr>
          <w:id w:val="1496609350"/>
          <w:citation/>
        </w:sdtPr>
        <w:sdtContent>
          <w:r>
            <w:fldChar w:fldCharType="begin"/>
          </w:r>
          <w:r>
            <w:instrText xml:space="preserve"> CITATION ETSITS103640v121 \l 2057 </w:instrText>
          </w:r>
          <w:r>
            <w:fldChar w:fldCharType="separate"/>
          </w:r>
          <w:r w:rsidR="002937E9">
            <w:rPr>
              <w:noProof/>
            </w:rPr>
            <w:t>[2]</w:t>
          </w:r>
          <w:r>
            <w:fldChar w:fldCharType="end"/>
          </w:r>
        </w:sdtContent>
      </w:sdt>
      <w:r>
        <w:t>, t</w:t>
      </w:r>
      <w:r w:rsidR="00F455E8">
        <w:t>here is no normative definition of a wind noise simulation yet,</w:t>
      </w:r>
      <w:r w:rsidR="00D34A45">
        <w:t xml:space="preserve"> but an informative Annex is provided as a guidance for a possible realization of the simulation. Based on this Annex and earlier proposals from the ETSI work item</w:t>
      </w:r>
      <w:r w:rsidR="002937E9">
        <w:t xml:space="preserve"> </w:t>
      </w:r>
      <w:sdt>
        <w:sdtPr>
          <w:id w:val="-1600707798"/>
          <w:citation/>
        </w:sdtPr>
        <w:sdtContent>
          <w:r w:rsidR="002937E9">
            <w:fldChar w:fldCharType="begin"/>
          </w:r>
          <w:r w:rsidR="002937E9">
            <w:rPr>
              <w:lang w:val="de-DE"/>
            </w:rPr>
            <w:instrText xml:space="preserve"> CITATION DRAFTETSITS103640v115 \l 1031 </w:instrText>
          </w:r>
          <w:r w:rsidR="002937E9">
            <w:fldChar w:fldCharType="separate"/>
          </w:r>
          <w:r w:rsidR="002937E9" w:rsidRPr="002937E9">
            <w:rPr>
              <w:noProof/>
              <w:lang w:val="de-DE"/>
            </w:rPr>
            <w:t>[3]</w:t>
          </w:r>
          <w:r w:rsidR="002937E9">
            <w:fldChar w:fldCharType="end"/>
          </w:r>
        </w:sdtContent>
      </w:sdt>
      <w:r w:rsidR="00D34A45">
        <w:t>, an initial study with two different ventilators was carried out to gather information and experience that could lead to normative definitions of a wind noise simulation in the next revision</w:t>
      </w:r>
      <w:r w:rsidR="00D34A45" w:rsidRPr="00D34A45">
        <w:t xml:space="preserve"> </w:t>
      </w:r>
      <w:r w:rsidR="00D34A45">
        <w:t>of TS 103 640.</w:t>
      </w:r>
    </w:p>
    <w:p w14:paraId="42EF9E19" w14:textId="48D80CE5" w:rsidR="00552D6A" w:rsidRDefault="00B36347" w:rsidP="00753F5D">
      <w:r>
        <w:t>Excerpts from this initial study are provided here as a basis for the discussions whether wind noise tests are necessary and feasible in the context of ATIAS. Practical aspects for this type of tests (e.g., noise of the ventilator itself) are considered for the two different wind generators</w:t>
      </w:r>
      <w:r w:rsidR="00753F5D">
        <w:t xml:space="preserve">. As </w:t>
      </w:r>
      <w:sdt>
        <w:sdtPr>
          <w:id w:val="-1182429446"/>
          <w:citation/>
        </w:sdtPr>
        <w:sdtContent>
          <w:r w:rsidR="00753F5D">
            <w:fldChar w:fldCharType="begin"/>
          </w:r>
          <w:r w:rsidR="00753F5D">
            <w:instrText xml:space="preserve"> CITATION ETSITS103640v121 \l 2057 </w:instrText>
          </w:r>
          <w:r w:rsidR="00753F5D">
            <w:fldChar w:fldCharType="separate"/>
          </w:r>
          <w:r w:rsidR="002937E9">
            <w:rPr>
              <w:noProof/>
            </w:rPr>
            <w:t>[2]</w:t>
          </w:r>
          <w:r w:rsidR="00753F5D">
            <w:fldChar w:fldCharType="end"/>
          </w:r>
        </w:sdtContent>
      </w:sdt>
      <w:r w:rsidR="00753F5D">
        <w:t xml:space="preserve"> focuses on testing ANC headsets, the area of interest for the wind simulation is the direct vicinity of the head and particularly the ears. </w:t>
      </w:r>
      <w:r>
        <w:t xml:space="preserve">Given the wide range of possible application scenarios for immersive audio communication systems and the correspondingly wide range of possible form factors for the terminals, </w:t>
      </w:r>
      <w:r w:rsidR="00753F5D">
        <w:t>this is not representative for all use cases in ATIAS but will still provide information that can be adapted for other cases.</w:t>
      </w:r>
    </w:p>
    <w:p w14:paraId="2A15AD66" w14:textId="77777777" w:rsidR="00552D6A" w:rsidRDefault="00552D6A" w:rsidP="00552D6A">
      <w:pPr>
        <w:pStyle w:val="Heading1"/>
      </w:pPr>
      <w:r>
        <w:t>Test setup</w:t>
      </w:r>
    </w:p>
    <w:p w14:paraId="3852231A" w14:textId="509794D5" w:rsidR="00F860B0" w:rsidRPr="002079E8" w:rsidRDefault="00F860B0" w:rsidP="00F860B0">
      <w:r w:rsidRPr="002079E8">
        <w:t xml:space="preserve">For the </w:t>
      </w:r>
      <w:r w:rsidR="00753F5D">
        <w:t>study</w:t>
      </w:r>
      <w:r w:rsidRPr="002079E8">
        <w:t>, two commercially available wind generators with circular flow outlet</w:t>
      </w:r>
      <w:r w:rsidR="007D2D66">
        <w:t>s</w:t>
      </w:r>
      <w:r w:rsidRPr="002079E8">
        <w:t xml:space="preserve"> </w:t>
      </w:r>
      <w:r>
        <w:t xml:space="preserve">according to </w:t>
      </w:r>
      <w:r>
        <w:fldChar w:fldCharType="begin"/>
      </w:r>
      <w:r>
        <w:instrText xml:space="preserve"> REF _Ref106181402 \h </w:instrText>
      </w:r>
      <w:r>
        <w:fldChar w:fldCharType="separate"/>
      </w:r>
      <w:r w:rsidR="002937E9">
        <w:t xml:space="preserve">Table </w:t>
      </w:r>
      <w:r w:rsidR="002937E9">
        <w:rPr>
          <w:noProof/>
        </w:rPr>
        <w:t>1</w:t>
      </w:r>
      <w:r>
        <w:fldChar w:fldCharType="end"/>
      </w:r>
      <w:r>
        <w:t xml:space="preserve"> </w:t>
      </w:r>
      <w:r w:rsidRPr="002079E8">
        <w:t>were investigated.</w:t>
      </w:r>
    </w:p>
    <w:p w14:paraId="42197B9B" w14:textId="621B0386" w:rsidR="00F860B0" w:rsidRDefault="00F860B0" w:rsidP="00F860B0">
      <w:pPr>
        <w:pStyle w:val="TH"/>
      </w:pPr>
      <w:bookmarkStart w:id="0" w:name="_Ref106181402"/>
      <w:r>
        <w:t xml:space="preserve">Table </w:t>
      </w:r>
      <w:r>
        <w:fldChar w:fldCharType="begin"/>
      </w:r>
      <w:r>
        <w:instrText xml:space="preserve"> SEQ Table \* ARABIC </w:instrText>
      </w:r>
      <w:r>
        <w:fldChar w:fldCharType="separate"/>
      </w:r>
      <w:r w:rsidR="002937E9">
        <w:rPr>
          <w:noProof/>
        </w:rPr>
        <w:t>1</w:t>
      </w:r>
      <w:r>
        <w:rPr>
          <w:noProof/>
        </w:rPr>
        <w:fldChar w:fldCharType="end"/>
      </w:r>
      <w:bookmarkEnd w:id="0"/>
      <w:r>
        <w:t>: Wind generators used in investigation</w:t>
      </w:r>
    </w:p>
    <w:tbl>
      <w:tblPr>
        <w:tblStyle w:val="TableGrid"/>
        <w:tblW w:w="0" w:type="auto"/>
        <w:jc w:val="center"/>
        <w:tblLook w:val="04A0" w:firstRow="1" w:lastRow="0" w:firstColumn="1" w:lastColumn="0" w:noHBand="0" w:noVBand="1"/>
      </w:tblPr>
      <w:tblGrid>
        <w:gridCol w:w="1597"/>
        <w:gridCol w:w="2277"/>
        <w:gridCol w:w="4314"/>
      </w:tblGrid>
      <w:tr w:rsidR="00F860B0" w14:paraId="71F0FA7E" w14:textId="77777777" w:rsidTr="00512411">
        <w:trPr>
          <w:jc w:val="center"/>
        </w:trPr>
        <w:tc>
          <w:tcPr>
            <w:tcW w:w="1597" w:type="dxa"/>
          </w:tcPr>
          <w:p w14:paraId="66A7B702" w14:textId="77777777" w:rsidR="00F860B0" w:rsidRDefault="00F860B0" w:rsidP="00512411">
            <w:pPr>
              <w:pStyle w:val="TAH"/>
            </w:pPr>
            <w:r>
              <w:t>Identifier / Name</w:t>
            </w:r>
          </w:p>
        </w:tc>
        <w:tc>
          <w:tcPr>
            <w:tcW w:w="2277" w:type="dxa"/>
          </w:tcPr>
          <w:p w14:paraId="4B24AF6D" w14:textId="77777777" w:rsidR="00F860B0" w:rsidRDefault="00F860B0" w:rsidP="00512411">
            <w:pPr>
              <w:pStyle w:val="TAH"/>
            </w:pPr>
            <w:r>
              <w:t>Diameter of outlet [cm]</w:t>
            </w:r>
          </w:p>
        </w:tc>
        <w:tc>
          <w:tcPr>
            <w:tcW w:w="4314" w:type="dxa"/>
          </w:tcPr>
          <w:p w14:paraId="596AD16C" w14:textId="77777777" w:rsidR="00F860B0" w:rsidRDefault="00F860B0" w:rsidP="00512411">
            <w:pPr>
              <w:pStyle w:val="TAH"/>
            </w:pPr>
            <w:r>
              <w:t>Comment</w:t>
            </w:r>
          </w:p>
        </w:tc>
      </w:tr>
      <w:tr w:rsidR="00F860B0" w:rsidRPr="00294895" w14:paraId="2246E5E0" w14:textId="77777777" w:rsidTr="00512411">
        <w:trPr>
          <w:jc w:val="center"/>
        </w:trPr>
        <w:tc>
          <w:tcPr>
            <w:tcW w:w="1597" w:type="dxa"/>
          </w:tcPr>
          <w:p w14:paraId="44C6A0F2" w14:textId="77777777" w:rsidR="00F860B0" w:rsidRPr="00294895" w:rsidRDefault="00F860B0" w:rsidP="00512411">
            <w:pPr>
              <w:pStyle w:val="TAC"/>
            </w:pPr>
            <w:r w:rsidRPr="00294895">
              <w:t>WG1 / Large</w:t>
            </w:r>
          </w:p>
        </w:tc>
        <w:tc>
          <w:tcPr>
            <w:tcW w:w="2277" w:type="dxa"/>
          </w:tcPr>
          <w:p w14:paraId="1319306B" w14:textId="77777777" w:rsidR="00F860B0" w:rsidRPr="00294895" w:rsidRDefault="00F860B0" w:rsidP="00512411">
            <w:pPr>
              <w:pStyle w:val="TAC"/>
            </w:pPr>
            <w:r w:rsidRPr="00294895">
              <w:t>31.</w:t>
            </w:r>
            <w:r>
              <w:t>0</w:t>
            </w:r>
          </w:p>
        </w:tc>
        <w:tc>
          <w:tcPr>
            <w:tcW w:w="4314" w:type="dxa"/>
          </w:tcPr>
          <w:p w14:paraId="48633DCE" w14:textId="77777777" w:rsidR="00F860B0" w:rsidRPr="00294895" w:rsidRDefault="00F860B0" w:rsidP="00512411">
            <w:pPr>
              <w:pStyle w:val="TAC"/>
            </w:pPr>
            <w:r w:rsidRPr="00294895">
              <w:t>Large/huge device, would most likely not fit into typical measurement chambers</w:t>
            </w:r>
          </w:p>
        </w:tc>
      </w:tr>
      <w:tr w:rsidR="00F860B0" w:rsidRPr="00294895" w14:paraId="584E4499" w14:textId="77777777" w:rsidTr="00512411">
        <w:trPr>
          <w:jc w:val="center"/>
        </w:trPr>
        <w:tc>
          <w:tcPr>
            <w:tcW w:w="1597" w:type="dxa"/>
          </w:tcPr>
          <w:p w14:paraId="14ED7448" w14:textId="77777777" w:rsidR="00F860B0" w:rsidRPr="00294895" w:rsidRDefault="00F860B0" w:rsidP="00512411">
            <w:pPr>
              <w:pStyle w:val="TAC"/>
            </w:pPr>
            <w:r w:rsidRPr="00294895">
              <w:t>WG2 / Compact</w:t>
            </w:r>
          </w:p>
        </w:tc>
        <w:tc>
          <w:tcPr>
            <w:tcW w:w="2277" w:type="dxa"/>
          </w:tcPr>
          <w:p w14:paraId="7492A095" w14:textId="77777777" w:rsidR="00F860B0" w:rsidRPr="00294895" w:rsidRDefault="00F860B0" w:rsidP="00512411">
            <w:pPr>
              <w:pStyle w:val="TAC"/>
            </w:pPr>
            <w:r w:rsidRPr="00294895">
              <w:t>15.</w:t>
            </w:r>
            <w:r>
              <w:t>7</w:t>
            </w:r>
          </w:p>
        </w:tc>
        <w:tc>
          <w:tcPr>
            <w:tcW w:w="4314" w:type="dxa"/>
          </w:tcPr>
          <w:p w14:paraId="38275756" w14:textId="77777777" w:rsidR="00F860B0" w:rsidRPr="00294895" w:rsidRDefault="00F860B0" w:rsidP="00512411">
            <w:pPr>
              <w:pStyle w:val="TAC"/>
            </w:pPr>
            <w:r w:rsidRPr="00294895">
              <w:t>Compact device, to be used in typical measurement chambers</w:t>
            </w:r>
          </w:p>
        </w:tc>
      </w:tr>
    </w:tbl>
    <w:p w14:paraId="4DAA90ED" w14:textId="77777777" w:rsidR="00F860B0" w:rsidRPr="002A7938" w:rsidRDefault="00F860B0" w:rsidP="00F860B0"/>
    <w:p w14:paraId="2386AACB" w14:textId="77777777" w:rsidR="00F860B0" w:rsidRDefault="00F860B0" w:rsidP="00F860B0">
      <w:r w:rsidRPr="002A7938">
        <w:t>Both wind generators were coupled with additional duct</w:t>
      </w:r>
      <w:r>
        <w:t>s, which are necessary to provide a minimum amount of laminar flow, and are designed as follows:</w:t>
      </w:r>
    </w:p>
    <w:p w14:paraId="0052E74C" w14:textId="77777777" w:rsidR="00F860B0" w:rsidRDefault="00F860B0" w:rsidP="00F860B0">
      <w:pPr>
        <w:pStyle w:val="ListParagraph"/>
        <w:numPr>
          <w:ilvl w:val="0"/>
          <w:numId w:val="3"/>
        </w:numPr>
      </w:pPr>
      <w:r w:rsidRPr="002A7938">
        <w:t xml:space="preserve">For </w:t>
      </w:r>
      <w:r>
        <w:t>WG1</w:t>
      </w:r>
      <w:r w:rsidRPr="002A7938">
        <w:t xml:space="preserve">, </w:t>
      </w:r>
      <w:r>
        <w:t xml:space="preserve">the </w:t>
      </w:r>
      <w:r w:rsidRPr="002A7938">
        <w:t xml:space="preserve">duct is made of metal and has an overall length of 139 cm. About one third of the duct is straight metal tubing, the other two thirds are a silencer element consisting of a perforated metal plate with insulation behind it. The inner diameters of the metal tubing and the silencer are practically identical, the silencer does not protrude into the air stream. </w:t>
      </w:r>
    </w:p>
    <w:p w14:paraId="077FEEE8" w14:textId="33A9572A" w:rsidR="00F860B0" w:rsidRDefault="00F860B0" w:rsidP="00F860B0">
      <w:pPr>
        <w:pStyle w:val="ListParagraph"/>
        <w:numPr>
          <w:ilvl w:val="0"/>
          <w:numId w:val="3"/>
        </w:numPr>
      </w:pPr>
      <w:r w:rsidRPr="002A7938">
        <w:t xml:space="preserve">The setup for </w:t>
      </w:r>
      <w:r>
        <w:t>WG2</w:t>
      </w:r>
      <w:r w:rsidRPr="002A7938">
        <w:t xml:space="preserve"> is simpler, </w:t>
      </w:r>
      <w:r w:rsidR="007D2D66">
        <w:t xml:space="preserve">it consists of </w:t>
      </w:r>
      <w:r w:rsidRPr="002A7938">
        <w:t>straight PVC tubing with a length of 149 cm.</w:t>
      </w:r>
    </w:p>
    <w:p w14:paraId="51FCF8C6" w14:textId="77777777" w:rsidR="00F860B0" w:rsidRDefault="00F860B0" w:rsidP="00F860B0"/>
    <w:p w14:paraId="7347CD47" w14:textId="26DB0F92" w:rsidR="00F860B0" w:rsidRDefault="00F860B0" w:rsidP="00F860B0">
      <w:r>
        <w:t xml:space="preserve">In the following, the identifiers WG1 and WG2 will be used for the two combinations of wind generator and duct: WG1 for the large wind generator with metal duct and silencer, WG2 for the compact wind generator with PVC tubing. </w:t>
      </w:r>
      <w:r>
        <w:fldChar w:fldCharType="begin"/>
      </w:r>
      <w:r>
        <w:instrText xml:space="preserve"> REF _Ref106310515 \h </w:instrText>
      </w:r>
      <w:r>
        <w:fldChar w:fldCharType="separate"/>
      </w:r>
      <w:r w:rsidR="002937E9">
        <w:t xml:space="preserve">Figure </w:t>
      </w:r>
      <w:r w:rsidR="002937E9">
        <w:rPr>
          <w:noProof/>
        </w:rPr>
        <w:t>1</w:t>
      </w:r>
      <w:r>
        <w:fldChar w:fldCharType="end"/>
      </w:r>
      <w:r>
        <w:t xml:space="preserve"> illustrates the structure of both wind generators and introduces definitions of centre line and plane of the exit ports. Note that only the diameters are to scale, while everything else indicates only a schematic representation.</w:t>
      </w:r>
    </w:p>
    <w:p w14:paraId="249B0804" w14:textId="77777777" w:rsidR="00F860B0" w:rsidRDefault="00F860B0" w:rsidP="00F860B0">
      <w:pPr>
        <w:pStyle w:val="FL"/>
      </w:pPr>
      <w:r>
        <w:rPr>
          <w:noProof/>
        </w:rPr>
        <w:lastRenderedPageBreak/>
        <w:drawing>
          <wp:inline distT="0" distB="0" distL="0" distR="0" wp14:anchorId="2B22F55A" wp14:editId="772B46F9">
            <wp:extent cx="6119743" cy="2893695"/>
            <wp:effectExtent l="0" t="0" r="0" b="1905"/>
            <wp:docPr id="2" name="Picture 2"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10;&#10;Description automatically generated"/>
                    <pic:cNvPicPr/>
                  </pic:nvPicPr>
                  <pic:blipFill>
                    <a:blip r:embed="rId8">
                      <a:extLst>
                        <a:ext uri="{28A0092B-C50C-407E-A947-70E740481C1C}">
                          <a14:useLocalDpi xmlns:a14="http://schemas.microsoft.com/office/drawing/2010/main" val="0"/>
                        </a:ext>
                      </a:extLst>
                    </a:blip>
                    <a:stretch>
                      <a:fillRect/>
                    </a:stretch>
                  </pic:blipFill>
                  <pic:spPr>
                    <a:xfrm>
                      <a:off x="0" y="0"/>
                      <a:ext cx="6119743" cy="2893695"/>
                    </a:xfrm>
                    <a:prstGeom prst="rect">
                      <a:avLst/>
                    </a:prstGeom>
                  </pic:spPr>
                </pic:pic>
              </a:graphicData>
            </a:graphic>
          </wp:inline>
        </w:drawing>
      </w:r>
    </w:p>
    <w:p w14:paraId="6A8F5898" w14:textId="2C54896C" w:rsidR="00F860B0" w:rsidRPr="002A7938" w:rsidRDefault="00F860B0" w:rsidP="00F860B0">
      <w:pPr>
        <w:pStyle w:val="TF"/>
      </w:pPr>
      <w:bookmarkStart w:id="1" w:name="_Ref106310515"/>
      <w:r>
        <w:t xml:space="preserve">Figure </w:t>
      </w:r>
      <w:r>
        <w:fldChar w:fldCharType="begin"/>
      </w:r>
      <w:r>
        <w:instrText xml:space="preserve"> SEQ Figure \* ARABIC </w:instrText>
      </w:r>
      <w:r>
        <w:fldChar w:fldCharType="separate"/>
      </w:r>
      <w:r w:rsidR="002937E9">
        <w:rPr>
          <w:noProof/>
        </w:rPr>
        <w:t>1</w:t>
      </w:r>
      <w:r>
        <w:rPr>
          <w:noProof/>
        </w:rPr>
        <w:fldChar w:fldCharType="end"/>
      </w:r>
      <w:bookmarkEnd w:id="1"/>
      <w:r>
        <w:t>: Schematic illustrations of WG1 (upper) and WG2 (lower)</w:t>
      </w:r>
    </w:p>
    <w:p w14:paraId="1846A294" w14:textId="77777777" w:rsidR="00F860B0" w:rsidRDefault="00F860B0" w:rsidP="00F860B0">
      <w:pPr>
        <w:pStyle w:val="Heading1"/>
      </w:pPr>
      <w:r>
        <w:t>Measurement Results</w:t>
      </w:r>
    </w:p>
    <w:p w14:paraId="68D7B5B2" w14:textId="77777777" w:rsidR="00F860B0" w:rsidRDefault="00F860B0" w:rsidP="00F860B0">
      <w:pPr>
        <w:pStyle w:val="Heading2"/>
      </w:pPr>
      <w:r>
        <w:t>Acoustic noise of wind generators</w:t>
      </w:r>
    </w:p>
    <w:p w14:paraId="366254C4" w14:textId="216FB50C" w:rsidR="00F860B0" w:rsidRDefault="00F860B0" w:rsidP="00F860B0">
      <w:r w:rsidRPr="00987514">
        <w:t xml:space="preserve">According to Annex A </w:t>
      </w:r>
      <w:sdt>
        <w:sdtPr>
          <w:id w:val="-1241242591"/>
          <w:citation/>
        </w:sdtPr>
        <w:sdtContent>
          <w:r w:rsidRPr="00987514">
            <w:fldChar w:fldCharType="begin"/>
          </w:r>
          <w:r w:rsidRPr="00987514">
            <w:instrText xml:space="preserve"> CITATION ETSITS103640v121 \l 2057 </w:instrText>
          </w:r>
          <w:r w:rsidRPr="00987514">
            <w:fldChar w:fldCharType="separate"/>
          </w:r>
          <w:r w:rsidR="002937E9">
            <w:rPr>
              <w:noProof/>
            </w:rPr>
            <w:t>[2]</w:t>
          </w:r>
          <w:r w:rsidRPr="00987514">
            <w:fldChar w:fldCharType="end"/>
          </w:r>
        </w:sdtContent>
      </w:sdt>
      <w:r w:rsidRPr="00987514">
        <w:t>, the acoustic noise of the wind generator is measured in third octave bands from 20 Hz to 20 kHz using a reference microphone with appropriate wind screening at 30 cm without HATS. Results for both wind generators are shown in</w:t>
      </w:r>
      <w:r>
        <w:t xml:space="preserve"> </w:t>
      </w:r>
      <w:r>
        <w:fldChar w:fldCharType="begin"/>
      </w:r>
      <w:r>
        <w:instrText xml:space="preserve"> REF _Ref106183461 \h </w:instrText>
      </w:r>
      <w:r>
        <w:fldChar w:fldCharType="separate"/>
      </w:r>
      <w:r w:rsidR="002937E9">
        <w:t xml:space="preserve">Figure </w:t>
      </w:r>
      <w:r w:rsidR="002937E9">
        <w:rPr>
          <w:noProof/>
        </w:rPr>
        <w:t>2</w:t>
      </w:r>
      <w:r>
        <w:fldChar w:fldCharType="end"/>
      </w:r>
      <w:r>
        <w:t>. Note that the frequency range of the figure is slightly smaller than the actual range of the measurement to represent the relevant noise components in more detail as there is little noise towards the lower and upper edge of the range anyway.</w:t>
      </w:r>
    </w:p>
    <w:p w14:paraId="755ABAA4" w14:textId="77777777" w:rsidR="00F860B0" w:rsidRDefault="00F860B0" w:rsidP="00F860B0">
      <w:pPr>
        <w:pStyle w:val="FL"/>
      </w:pPr>
      <w:r w:rsidRPr="00B97FA2">
        <w:rPr>
          <w:noProof/>
        </w:rPr>
        <w:drawing>
          <wp:inline distT="0" distB="0" distL="0" distR="0" wp14:anchorId="524EB106" wp14:editId="2FEA02AE">
            <wp:extent cx="6120130" cy="308546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0130" cy="3085465"/>
                    </a:xfrm>
                    <a:prstGeom prst="rect">
                      <a:avLst/>
                    </a:prstGeom>
                    <a:noFill/>
                    <a:ln>
                      <a:noFill/>
                    </a:ln>
                  </pic:spPr>
                </pic:pic>
              </a:graphicData>
            </a:graphic>
          </wp:inline>
        </w:drawing>
      </w:r>
    </w:p>
    <w:p w14:paraId="34B724CF" w14:textId="48B526CE" w:rsidR="00F860B0" w:rsidRDefault="00F860B0" w:rsidP="00F860B0">
      <w:pPr>
        <w:pStyle w:val="TF"/>
      </w:pPr>
      <w:bookmarkStart w:id="2" w:name="_Ref106183461"/>
      <w:r>
        <w:t xml:space="preserve">Figure </w:t>
      </w:r>
      <w:r>
        <w:fldChar w:fldCharType="begin"/>
      </w:r>
      <w:r>
        <w:instrText xml:space="preserve"> SEQ Figure \* ARABIC </w:instrText>
      </w:r>
      <w:r>
        <w:fldChar w:fldCharType="separate"/>
      </w:r>
      <w:r w:rsidR="002937E9">
        <w:rPr>
          <w:noProof/>
        </w:rPr>
        <w:t>2</w:t>
      </w:r>
      <w:r>
        <w:rPr>
          <w:noProof/>
        </w:rPr>
        <w:fldChar w:fldCharType="end"/>
      </w:r>
      <w:bookmarkEnd w:id="2"/>
      <w:r>
        <w:t xml:space="preserve">: Wind generator noises measured </w:t>
      </w:r>
      <w:r>
        <w:rPr>
          <w:noProof/>
        </w:rPr>
        <w:t>at 30 cm distance</w:t>
      </w:r>
    </w:p>
    <w:p w14:paraId="710BDD28" w14:textId="77777777" w:rsidR="00F860B0" w:rsidRPr="00987514" w:rsidRDefault="00F860B0" w:rsidP="00F860B0"/>
    <w:p w14:paraId="6F303E11" w14:textId="77777777" w:rsidR="00F860B0" w:rsidRPr="00987514" w:rsidRDefault="00F860B0" w:rsidP="00F860B0">
      <w:r w:rsidRPr="00987514">
        <w:lastRenderedPageBreak/>
        <w:t xml:space="preserve">The initially proposed limit (less than 40 dBSPL(A) across all frequency bands) cannot be achieved by </w:t>
      </w:r>
      <w:r>
        <w:t>both setups</w:t>
      </w:r>
      <w:r w:rsidRPr="00987514">
        <w:t xml:space="preserve">. However, both </w:t>
      </w:r>
      <w:r>
        <w:t xml:space="preserve">wind </w:t>
      </w:r>
      <w:r w:rsidRPr="00987514">
        <w:t>generator</w:t>
      </w:r>
      <w:r>
        <w:t xml:space="preserve"> configurations do not provide an optimized </w:t>
      </w:r>
      <w:r w:rsidRPr="00987514">
        <w:t>acoustical treat</w:t>
      </w:r>
      <w:r>
        <w:t>ment</w:t>
      </w:r>
      <w:r w:rsidRPr="00987514">
        <w:t xml:space="preserve"> w.r.t. this </w:t>
      </w:r>
      <w:r>
        <w:t xml:space="preserve">proposed </w:t>
      </w:r>
      <w:r w:rsidRPr="00987514">
        <w:t>limit.</w:t>
      </w:r>
    </w:p>
    <w:p w14:paraId="28C9F9CE" w14:textId="77777777" w:rsidR="00F860B0" w:rsidRPr="00987514" w:rsidRDefault="00F860B0" w:rsidP="00F860B0"/>
    <w:p w14:paraId="67810F67" w14:textId="77777777" w:rsidR="00F860B0" w:rsidRDefault="00F860B0" w:rsidP="00F860B0">
      <w:pPr>
        <w:pStyle w:val="Heading2"/>
      </w:pPr>
      <w:r>
        <w:t>Wind speed</w:t>
      </w:r>
    </w:p>
    <w:p w14:paraId="5D38CBC4" w14:textId="77777777" w:rsidR="00F860B0" w:rsidRDefault="00F860B0" w:rsidP="00F860B0">
      <w:r>
        <w:t>In absence of acoustic test equipment (HATS), the wind generator should produce a temporally and (up to a certain degree) spatially consistent wind speed. The test setup for both wind generators was designed as follows:</w:t>
      </w:r>
    </w:p>
    <w:p w14:paraId="66EE06E0" w14:textId="77777777" w:rsidR="00F860B0" w:rsidRDefault="00F860B0" w:rsidP="00F860B0">
      <w:pPr>
        <w:pStyle w:val="ListParagraph"/>
        <w:numPr>
          <w:ilvl w:val="0"/>
          <w:numId w:val="1"/>
        </w:numPr>
      </w:pPr>
      <w:r>
        <w:t>The target wind speed is calibrated to 4.5 m/s at the centre position (30 cm in front of the centre of the wind outlet), indicated as C in the following.</w:t>
      </w:r>
    </w:p>
    <w:p w14:paraId="548AB60F" w14:textId="77777777" w:rsidR="00F860B0" w:rsidRDefault="00F860B0" w:rsidP="00F860B0">
      <w:pPr>
        <w:pStyle w:val="ListParagraph"/>
        <w:numPr>
          <w:ilvl w:val="0"/>
          <w:numId w:val="1"/>
        </w:numPr>
      </w:pPr>
      <w:r>
        <w:t>Two additional spatial points are defined between the two (virtual) EEPs of HATS, which is about 15 cm (30 cm in front of the wind outlet, +/- 7.5 cm in horizontal direction to C), indicated as L and R (left/right) in the following.</w:t>
      </w:r>
    </w:p>
    <w:p w14:paraId="687752DC" w14:textId="77777777" w:rsidR="00F860B0" w:rsidRDefault="00F860B0" w:rsidP="00F860B0">
      <w:pPr>
        <w:pStyle w:val="ListParagraph"/>
        <w:numPr>
          <w:ilvl w:val="0"/>
          <w:numId w:val="1"/>
        </w:numPr>
      </w:pPr>
      <w:r>
        <w:t>Additionally, two spatial points are defined orthogonal to L/R (30 cm in front of the wind outlet, +/- 7.5 cm in vertical direction to C), indicated as T and B (top/bottom) in the following.</w:t>
      </w:r>
    </w:p>
    <w:p w14:paraId="44B2B3F6" w14:textId="77777777" w:rsidR="00F860B0" w:rsidRDefault="00F860B0" w:rsidP="00F860B0"/>
    <w:p w14:paraId="16AECFBE" w14:textId="4EEC0BBC" w:rsidR="00F860B0" w:rsidRDefault="00F860B0" w:rsidP="00F860B0">
      <w:r>
        <w:t xml:space="preserve">An illustration of the different measurement points at 30 cm from the outlet port is provided in </w:t>
      </w:r>
      <w:r>
        <w:fldChar w:fldCharType="begin"/>
      </w:r>
      <w:r>
        <w:instrText xml:space="preserve"> REF _Ref106269795 \h </w:instrText>
      </w:r>
      <w:r>
        <w:fldChar w:fldCharType="separate"/>
      </w:r>
      <w:r w:rsidR="002937E9">
        <w:t xml:space="preserve">Figure </w:t>
      </w:r>
      <w:r w:rsidR="002937E9">
        <w:rPr>
          <w:noProof/>
        </w:rPr>
        <w:t>3</w:t>
      </w:r>
      <w:r>
        <w:fldChar w:fldCharType="end"/>
      </w:r>
      <w:r>
        <w:t>.</w:t>
      </w:r>
    </w:p>
    <w:p w14:paraId="4B646AAA" w14:textId="77777777" w:rsidR="00F860B0" w:rsidRDefault="00F860B0" w:rsidP="00F860B0">
      <w:pPr>
        <w:pStyle w:val="FL"/>
      </w:pPr>
      <w:r>
        <w:rPr>
          <w:noProof/>
        </w:rPr>
        <w:drawing>
          <wp:inline distT="0" distB="0" distL="0" distR="0" wp14:anchorId="3F759C56" wp14:editId="1DFB61E4">
            <wp:extent cx="2692031" cy="2564771"/>
            <wp:effectExtent l="0" t="0" r="0" b="6985"/>
            <wp:docPr id="6" name="Picture 6" descr="Shape,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Shape, circle&#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2701655" cy="2573940"/>
                    </a:xfrm>
                    <a:prstGeom prst="rect">
                      <a:avLst/>
                    </a:prstGeom>
                  </pic:spPr>
                </pic:pic>
              </a:graphicData>
            </a:graphic>
          </wp:inline>
        </w:drawing>
      </w:r>
    </w:p>
    <w:p w14:paraId="665CCFE6" w14:textId="5CAF0BF9" w:rsidR="00F860B0" w:rsidRDefault="00F860B0" w:rsidP="00F860B0">
      <w:pPr>
        <w:pStyle w:val="TF"/>
      </w:pPr>
      <w:bookmarkStart w:id="3" w:name="_Ref106269795"/>
      <w:r>
        <w:t xml:space="preserve">Figure </w:t>
      </w:r>
      <w:r>
        <w:fldChar w:fldCharType="begin"/>
      </w:r>
      <w:r>
        <w:instrText xml:space="preserve"> SEQ Figure \* ARABIC </w:instrText>
      </w:r>
      <w:r>
        <w:fldChar w:fldCharType="separate"/>
      </w:r>
      <w:r w:rsidR="002937E9">
        <w:rPr>
          <w:noProof/>
        </w:rPr>
        <w:t>3</w:t>
      </w:r>
      <w:r>
        <w:rPr>
          <w:noProof/>
        </w:rPr>
        <w:fldChar w:fldCharType="end"/>
      </w:r>
      <w:bookmarkEnd w:id="3"/>
      <w:r>
        <w:t>: Measurement points for spatial wind accuracy</w:t>
      </w:r>
    </w:p>
    <w:p w14:paraId="11A0AA16" w14:textId="77777777" w:rsidR="00F860B0" w:rsidRDefault="00F860B0" w:rsidP="00F860B0"/>
    <w:p w14:paraId="5BA9C750" w14:textId="77777777" w:rsidR="00F860B0" w:rsidRDefault="00F860B0" w:rsidP="00F860B0">
      <w:r>
        <w:t xml:space="preserve">The spatial accuracy is investigated for both setups by measuring the wind speed with a vane anemometer at eleven evenly spaced points (2.5 cm), each along the horizontal centre line (i.e., the line going through L, C, and R) and the vertical centre line (i.e., the line going through T, C, and B). </w:t>
      </w:r>
    </w:p>
    <w:p w14:paraId="1B50202E" w14:textId="77777777" w:rsidR="00F860B0" w:rsidRDefault="00F860B0" w:rsidP="00F860B0"/>
    <w:p w14:paraId="6BEF4F90" w14:textId="4B3839BB" w:rsidR="00F860B0" w:rsidRDefault="00F860B0" w:rsidP="00F860B0">
      <w:r>
        <w:t xml:space="preserve">The measurement results are shown in </w:t>
      </w:r>
      <w:r>
        <w:fldChar w:fldCharType="begin"/>
      </w:r>
      <w:r>
        <w:instrText xml:space="preserve"> REF _Ref106204345 \h </w:instrText>
      </w:r>
      <w:r>
        <w:fldChar w:fldCharType="separate"/>
      </w:r>
      <w:r w:rsidR="002937E9">
        <w:t xml:space="preserve">Figure </w:t>
      </w:r>
      <w:r w:rsidR="002937E9">
        <w:rPr>
          <w:noProof/>
        </w:rPr>
        <w:t>4</w:t>
      </w:r>
      <w:r>
        <w:fldChar w:fldCharType="end"/>
      </w:r>
      <w:r>
        <w:t xml:space="preserve"> for horizontal and vertical axes. The error bars represent maximum and minimum wind speed observed during the measurement duration</w:t>
      </w:r>
      <w:r w:rsidRPr="005239A0">
        <w:t xml:space="preserve"> </w:t>
      </w:r>
      <w:r>
        <w:t>of at least 15 seconds that are provided by the anemometer. The target wind speed of 4.5 m/s is indicated by the dashed line.</w:t>
      </w:r>
    </w:p>
    <w:p w14:paraId="56CC32C2" w14:textId="77777777" w:rsidR="00F860B0" w:rsidRDefault="00F860B0" w:rsidP="00F860B0"/>
    <w:p w14:paraId="72C42898" w14:textId="77777777" w:rsidR="00F860B0" w:rsidRDefault="00F860B0" w:rsidP="00F860B0">
      <w:pPr>
        <w:pStyle w:val="FL"/>
      </w:pPr>
      <w:r>
        <w:rPr>
          <w:noProof/>
          <w:lang w:eastAsia="en-GB"/>
        </w:rPr>
        <w:lastRenderedPageBreak/>
        <w:drawing>
          <wp:inline distT="0" distB="0" distL="0" distR="0" wp14:anchorId="4FE728B7" wp14:editId="7211D9DB">
            <wp:extent cx="5725716" cy="4298950"/>
            <wp:effectExtent l="0" t="0" r="889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1">
                      <a:extLst>
                        <a:ext uri="{28A0092B-C50C-407E-A947-70E740481C1C}">
                          <a14:useLocalDpi xmlns:a14="http://schemas.microsoft.com/office/drawing/2010/main" val="0"/>
                        </a:ext>
                        <a:ext uri="{96DAC541-7B7A-43D3-8B79-37D633B846F1}">
                          <asvg:svgBlip xmlns:asvg="http://schemas.microsoft.com/office/drawing/2016/SVG/main" r:embed="rId12"/>
                        </a:ext>
                      </a:extLst>
                    </a:blip>
                    <a:stretch>
                      <a:fillRect/>
                    </a:stretch>
                  </pic:blipFill>
                  <pic:spPr>
                    <a:xfrm>
                      <a:off x="0" y="0"/>
                      <a:ext cx="5725716" cy="4298950"/>
                    </a:xfrm>
                    <a:prstGeom prst="rect">
                      <a:avLst/>
                    </a:prstGeom>
                  </pic:spPr>
                </pic:pic>
              </a:graphicData>
            </a:graphic>
          </wp:inline>
        </w:drawing>
      </w:r>
    </w:p>
    <w:p w14:paraId="6A56538A" w14:textId="7759CD67" w:rsidR="00F860B0" w:rsidRDefault="00F860B0" w:rsidP="00F860B0">
      <w:pPr>
        <w:pStyle w:val="TF"/>
      </w:pPr>
      <w:bookmarkStart w:id="4" w:name="_Ref106204345"/>
      <w:r>
        <w:t xml:space="preserve">Figure </w:t>
      </w:r>
      <w:r>
        <w:fldChar w:fldCharType="begin"/>
      </w:r>
      <w:r>
        <w:instrText xml:space="preserve"> SEQ Figure \* ARABIC </w:instrText>
      </w:r>
      <w:r>
        <w:fldChar w:fldCharType="separate"/>
      </w:r>
      <w:r w:rsidR="002937E9">
        <w:rPr>
          <w:noProof/>
        </w:rPr>
        <w:t>4</w:t>
      </w:r>
      <w:r>
        <w:rPr>
          <w:noProof/>
        </w:rPr>
        <w:fldChar w:fldCharType="end"/>
      </w:r>
      <w:bookmarkEnd w:id="4"/>
      <w:r>
        <w:t>: Spatial distribution of wind speeds for both wind generators</w:t>
      </w:r>
    </w:p>
    <w:p w14:paraId="0CCFCCF2" w14:textId="77777777" w:rsidR="00F860B0" w:rsidRDefault="00F860B0" w:rsidP="00F860B0"/>
    <w:p w14:paraId="1AF62467" w14:textId="77777777" w:rsidR="00F860B0" w:rsidRDefault="00F860B0" w:rsidP="00F860B0">
      <w:r>
        <w:t>It can be observed that the wind speed is distributed much more evenly for setup WG1. There are some variations along both axes, but all values are close to the target wind speed of 4.5 m/s. The differences between maximum and minimum are small as well, which indicates almost constant wind speeds at all measurement points. On the other hand, wind speed for WG2 decreases significantly at points close or outside the diameter of the outlet port. In that area, the differences between maximum and minimum increase as well, corresponding to larger variations in wind speed over time.</w:t>
      </w:r>
    </w:p>
    <w:p w14:paraId="6FDF37A4" w14:textId="77777777" w:rsidR="00F860B0" w:rsidRDefault="00F860B0" w:rsidP="00F860B0">
      <w:pPr>
        <w:pStyle w:val="Heading2"/>
      </w:pPr>
      <w:r>
        <w:t>Wind noise at HATS</w:t>
      </w:r>
    </w:p>
    <w:p w14:paraId="61667F91" w14:textId="77777777" w:rsidR="00F860B0" w:rsidRDefault="00F860B0" w:rsidP="00F860B0">
      <w:r>
        <w:t>The following investigation targets the resulting wind noise at acoustic test equipment that is subject to the wind generated by the two setups. A HATS is positioned 30 cm in front of the wind outlet both for WG1 and WG2. The resulting wind noise was recorded for four different rotations. The rotations are denoted by their respective angles in degrees in the following:</w:t>
      </w:r>
    </w:p>
    <w:p w14:paraId="3438DA95" w14:textId="77777777" w:rsidR="00F860B0" w:rsidRDefault="00F860B0" w:rsidP="00F860B0">
      <w:pPr>
        <w:pStyle w:val="ListParagraph"/>
        <w:numPr>
          <w:ilvl w:val="0"/>
          <w:numId w:val="4"/>
        </w:numPr>
      </w:pPr>
      <w:r>
        <w:t>0°: HATS is facing the wind generator</w:t>
      </w:r>
    </w:p>
    <w:p w14:paraId="0426581B" w14:textId="77777777" w:rsidR="00F860B0" w:rsidRDefault="00F860B0" w:rsidP="00F860B0">
      <w:pPr>
        <w:pStyle w:val="ListParagraph"/>
        <w:numPr>
          <w:ilvl w:val="0"/>
          <w:numId w:val="4"/>
        </w:numPr>
      </w:pPr>
      <w:r>
        <w:t>90°: right ear turned towards the wind generator</w:t>
      </w:r>
    </w:p>
    <w:p w14:paraId="4E0EAC58" w14:textId="77777777" w:rsidR="00F860B0" w:rsidRDefault="00F860B0" w:rsidP="00F860B0">
      <w:pPr>
        <w:pStyle w:val="ListParagraph"/>
        <w:numPr>
          <w:ilvl w:val="0"/>
          <w:numId w:val="4"/>
        </w:numPr>
      </w:pPr>
      <w:r>
        <w:t>180°: HATS is facing away from the wind generator</w:t>
      </w:r>
    </w:p>
    <w:p w14:paraId="23F69013" w14:textId="77777777" w:rsidR="00F860B0" w:rsidRDefault="00F860B0" w:rsidP="00F860B0">
      <w:pPr>
        <w:pStyle w:val="ListParagraph"/>
        <w:numPr>
          <w:ilvl w:val="0"/>
          <w:numId w:val="4"/>
        </w:numPr>
      </w:pPr>
      <w:r>
        <w:t>270°: left ear turned towards the wind generator</w:t>
      </w:r>
    </w:p>
    <w:p w14:paraId="4501F627" w14:textId="77777777" w:rsidR="00F860B0" w:rsidRDefault="00F860B0" w:rsidP="00F860B0"/>
    <w:p w14:paraId="774D1A6B" w14:textId="00C371A6" w:rsidR="00F860B0" w:rsidRPr="00C04734" w:rsidRDefault="00F860B0" w:rsidP="00F860B0">
      <w:r>
        <w:t xml:space="preserve">The resulting wind noise is presented in </w:t>
      </w:r>
      <w:r>
        <w:fldChar w:fldCharType="begin"/>
      </w:r>
      <w:r>
        <w:instrText xml:space="preserve"> REF _Ref106370056 \h </w:instrText>
      </w:r>
      <w:r>
        <w:fldChar w:fldCharType="separate"/>
      </w:r>
      <w:r w:rsidR="002937E9">
        <w:t xml:space="preserve">Figure </w:t>
      </w:r>
      <w:r w:rsidR="002937E9">
        <w:rPr>
          <w:noProof/>
        </w:rPr>
        <w:t>5</w:t>
      </w:r>
      <w:r>
        <w:fldChar w:fldCharType="end"/>
      </w:r>
      <w:r>
        <w:t xml:space="preserve"> by third-octave spectra with different colours for the two setups: blue for WG1 and orange for WG2.</w:t>
      </w:r>
    </w:p>
    <w:p w14:paraId="63FB7C6C" w14:textId="77777777" w:rsidR="00F860B0" w:rsidRDefault="00F860B0" w:rsidP="00F860B0">
      <w:pPr>
        <w:pStyle w:val="FL"/>
      </w:pPr>
      <w:r>
        <w:rPr>
          <w:noProof/>
        </w:rPr>
        <w:lastRenderedPageBreak/>
        <w:drawing>
          <wp:inline distT="0" distB="0" distL="0" distR="0" wp14:anchorId="31DF9D8C" wp14:editId="6AABC86B">
            <wp:extent cx="2954655" cy="8315325"/>
            <wp:effectExtent l="0" t="0" r="0" b="9525"/>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extLst>
                        <a:ext uri="{96DAC541-7B7A-43D3-8B79-37D633B846F1}">
                          <asvg:svgBlip xmlns:asvg="http://schemas.microsoft.com/office/drawing/2016/SVG/main" r:embed="rId14"/>
                        </a:ext>
                      </a:extLst>
                    </a:blip>
                    <a:srcRect t="5959" b="4343"/>
                    <a:stretch/>
                  </pic:blipFill>
                  <pic:spPr bwMode="auto">
                    <a:xfrm>
                      <a:off x="0" y="0"/>
                      <a:ext cx="2954655" cy="8315325"/>
                    </a:xfrm>
                    <a:prstGeom prst="rect">
                      <a:avLst/>
                    </a:prstGeom>
                    <a:ln>
                      <a:noFill/>
                    </a:ln>
                    <a:extLst>
                      <a:ext uri="{53640926-AAD7-44D8-BBD7-CCE9431645EC}">
                        <a14:shadowObscured xmlns:a14="http://schemas.microsoft.com/office/drawing/2010/main"/>
                      </a:ext>
                    </a:extLst>
                  </pic:spPr>
                </pic:pic>
              </a:graphicData>
            </a:graphic>
          </wp:inline>
        </w:drawing>
      </w:r>
    </w:p>
    <w:p w14:paraId="41E11752" w14:textId="5BE1571D" w:rsidR="00F860B0" w:rsidRDefault="00F860B0" w:rsidP="00F860B0">
      <w:pPr>
        <w:pStyle w:val="TF"/>
      </w:pPr>
      <w:bookmarkStart w:id="5" w:name="_Ref106370056"/>
      <w:r>
        <w:t xml:space="preserve">Figure </w:t>
      </w:r>
      <w:r>
        <w:fldChar w:fldCharType="begin"/>
      </w:r>
      <w:r>
        <w:instrText xml:space="preserve"> SEQ Figure \* ARABIC </w:instrText>
      </w:r>
      <w:r>
        <w:fldChar w:fldCharType="separate"/>
      </w:r>
      <w:r w:rsidR="002937E9">
        <w:rPr>
          <w:noProof/>
        </w:rPr>
        <w:t>5</w:t>
      </w:r>
      <w:r>
        <w:rPr>
          <w:noProof/>
        </w:rPr>
        <w:fldChar w:fldCharType="end"/>
      </w:r>
      <w:bookmarkEnd w:id="5"/>
      <w:r>
        <w:t>: Wind noise at the right ear of HATS without DUT</w:t>
      </w:r>
    </w:p>
    <w:p w14:paraId="734887B1" w14:textId="77777777" w:rsidR="00F860B0" w:rsidRDefault="00F860B0" w:rsidP="00F860B0">
      <w:r>
        <w:t>It can be observed that while there are some fundamental similarities between the curves, the two setups lead to wind noises that differ significantly. This is particularly obvious for higher frequencies. The wind noise for WG1 is substantially higher than for WG2 which corresponds to the measured wind speeds for the two setups.</w:t>
      </w:r>
    </w:p>
    <w:p w14:paraId="408A8883" w14:textId="6B3BBF0E" w:rsidR="00F860B0" w:rsidRDefault="0069679D" w:rsidP="00F860B0">
      <w:pPr>
        <w:pStyle w:val="Heading2"/>
      </w:pPr>
      <w:r>
        <w:lastRenderedPageBreak/>
        <w:t xml:space="preserve">Example </w:t>
      </w:r>
      <w:r w:rsidR="00F860B0">
        <w:t>Measurements with ANC devices</w:t>
      </w:r>
    </w:p>
    <w:p w14:paraId="1DA3E322" w14:textId="617A757C" w:rsidR="00F860B0" w:rsidRDefault="00F860B0" w:rsidP="00F860B0">
      <w:r>
        <w:t xml:space="preserve">To </w:t>
      </w:r>
      <w:r w:rsidR="00753F5D">
        <w:t xml:space="preserve">illustrate </w:t>
      </w:r>
      <w:r w:rsidR="0056580F">
        <w:t xml:space="preserve">how </w:t>
      </w:r>
      <w:r>
        <w:t>different wind speed</w:t>
      </w:r>
      <w:r w:rsidR="0056580F">
        <w:t>s</w:t>
      </w:r>
      <w:r>
        <w:t xml:space="preserve"> </w:t>
      </w:r>
      <w:r w:rsidR="0056580F">
        <w:t xml:space="preserve">can lead to </w:t>
      </w:r>
      <w:r w:rsidR="00753F5D">
        <w:t>different</w:t>
      </w:r>
      <w:r>
        <w:t xml:space="preserve"> wind noise</w:t>
      </w:r>
      <w:r w:rsidR="0056580F">
        <w:t>s</w:t>
      </w:r>
      <w:r w:rsidR="0069679D">
        <w:t xml:space="preserve">, </w:t>
      </w:r>
      <w:r>
        <w:t xml:space="preserve">three commercially available </w:t>
      </w:r>
      <w:r w:rsidR="0069679D">
        <w:t xml:space="preserve">ANC headsets </w:t>
      </w:r>
      <w:r>
        <w:t xml:space="preserve">are positioned on the HATS for both setups. The DUTs are labelled DUT 1 to DUT 3, DUTs 1 and 2 are in-ear devices, DUT 3 is an over-ear device. As before, the wind noise is presented in third-octave spectra using the same colour assignment. </w:t>
      </w:r>
      <w:r w:rsidR="0069679D">
        <w:t>The</w:t>
      </w:r>
      <w:r>
        <w:t xml:space="preserve"> results are </w:t>
      </w:r>
      <w:r w:rsidR="0069679D">
        <w:t xml:space="preserve">depicted </w:t>
      </w:r>
      <w:r>
        <w:t>in</w:t>
      </w:r>
      <w:r w:rsidR="006D5353">
        <w:t xml:space="preserve"> </w:t>
      </w:r>
      <w:r w:rsidR="006D5353">
        <w:fldChar w:fldCharType="begin"/>
      </w:r>
      <w:r w:rsidR="006D5353">
        <w:instrText xml:space="preserve"> REF _Ref106372415 \h </w:instrText>
      </w:r>
      <w:r w:rsidR="006D5353">
        <w:fldChar w:fldCharType="separate"/>
      </w:r>
      <w:r w:rsidR="002937E9">
        <w:t xml:space="preserve">Figure </w:t>
      </w:r>
      <w:r w:rsidR="002937E9">
        <w:rPr>
          <w:noProof/>
        </w:rPr>
        <w:t>6</w:t>
      </w:r>
      <w:r w:rsidR="006D5353">
        <w:fldChar w:fldCharType="end"/>
      </w:r>
      <w:r w:rsidR="0069679D">
        <w:t>.</w:t>
      </w:r>
    </w:p>
    <w:p w14:paraId="1DDEE007" w14:textId="77777777" w:rsidR="00F860B0" w:rsidRDefault="00F860B0" w:rsidP="00F860B0">
      <w:pPr>
        <w:pStyle w:val="FL"/>
      </w:pPr>
      <w:r>
        <w:rPr>
          <w:noProof/>
        </w:rPr>
        <w:drawing>
          <wp:inline distT="0" distB="0" distL="0" distR="0" wp14:anchorId="269C6E83" wp14:editId="5A48660A">
            <wp:extent cx="6120130" cy="7475220"/>
            <wp:effectExtent l="0" t="0" r="0" b="0"/>
            <wp:docPr id="10" name="Graphic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96DAC541-7B7A-43D3-8B79-37D633B846F1}">
                          <asvg:svgBlip xmlns:asvg="http://schemas.microsoft.com/office/drawing/2016/SVG/main" r:embed="rId16"/>
                        </a:ext>
                      </a:extLst>
                    </a:blip>
                    <a:stretch>
                      <a:fillRect/>
                    </a:stretch>
                  </pic:blipFill>
                  <pic:spPr>
                    <a:xfrm>
                      <a:off x="0" y="0"/>
                      <a:ext cx="6120130" cy="7475220"/>
                    </a:xfrm>
                    <a:prstGeom prst="rect">
                      <a:avLst/>
                    </a:prstGeom>
                  </pic:spPr>
                </pic:pic>
              </a:graphicData>
            </a:graphic>
          </wp:inline>
        </w:drawing>
      </w:r>
    </w:p>
    <w:p w14:paraId="0A453E39" w14:textId="2AAB795C" w:rsidR="00F860B0" w:rsidRDefault="00F860B0" w:rsidP="00F860B0">
      <w:pPr>
        <w:pStyle w:val="TF"/>
      </w:pPr>
      <w:bookmarkStart w:id="6" w:name="_Ref106372415"/>
      <w:r>
        <w:t xml:space="preserve">Figure </w:t>
      </w:r>
      <w:r>
        <w:fldChar w:fldCharType="begin"/>
      </w:r>
      <w:r>
        <w:instrText xml:space="preserve"> SEQ Figure \* ARABIC </w:instrText>
      </w:r>
      <w:r>
        <w:fldChar w:fldCharType="separate"/>
      </w:r>
      <w:r w:rsidR="002937E9">
        <w:rPr>
          <w:noProof/>
        </w:rPr>
        <w:t>6</w:t>
      </w:r>
      <w:r>
        <w:rPr>
          <w:noProof/>
        </w:rPr>
        <w:fldChar w:fldCharType="end"/>
      </w:r>
      <w:bookmarkEnd w:id="6"/>
      <w:r>
        <w:t>: Wind noise at the right ear of HATS with DUTs with ANC</w:t>
      </w:r>
    </w:p>
    <w:p w14:paraId="1D70B460" w14:textId="076F1589" w:rsidR="00F860B0" w:rsidRPr="00987514" w:rsidRDefault="0069679D" w:rsidP="00F860B0">
      <w:r>
        <w:lastRenderedPageBreak/>
        <w:t xml:space="preserve">The resulting differences between the two wind generator setups are mostly smaller with the DUT than without it (cf. </w:t>
      </w:r>
      <w:r>
        <w:fldChar w:fldCharType="begin"/>
      </w:r>
      <w:r>
        <w:instrText xml:space="preserve"> REF _Ref106370056 \h </w:instrText>
      </w:r>
      <w:r>
        <w:fldChar w:fldCharType="separate"/>
      </w:r>
      <w:r w:rsidR="002937E9">
        <w:t xml:space="preserve">Figure </w:t>
      </w:r>
      <w:r w:rsidR="002937E9">
        <w:rPr>
          <w:noProof/>
        </w:rPr>
        <w:t>5</w:t>
      </w:r>
      <w:r>
        <w:fldChar w:fldCharType="end"/>
      </w:r>
      <w:r>
        <w:t xml:space="preserve">). However, there are still significant differences between the two setups particularly for higher frequencies. As before, there is generally more wind noise for WG1. </w:t>
      </w:r>
      <w:r w:rsidR="00F860B0">
        <w:t xml:space="preserve">There are </w:t>
      </w:r>
      <w:r>
        <w:t xml:space="preserve">cases </w:t>
      </w:r>
      <w:r w:rsidR="00F860B0">
        <w:t xml:space="preserve">where the two wind generator setups provide comparable results but there are other </w:t>
      </w:r>
      <w:r>
        <w:t>cases</w:t>
      </w:r>
      <w:r w:rsidR="00F860B0">
        <w:t xml:space="preserve"> where they differ significantly.</w:t>
      </w:r>
    </w:p>
    <w:p w14:paraId="07C48C0A" w14:textId="77777777" w:rsidR="00F860B0" w:rsidRDefault="00F860B0" w:rsidP="00F860B0">
      <w:pPr>
        <w:pStyle w:val="Heading1"/>
      </w:pPr>
      <w:r>
        <w:t>Conclusion</w:t>
      </w:r>
    </w:p>
    <w:p w14:paraId="1A3D01D9" w14:textId="4877BDF7" w:rsidR="00F860B0" w:rsidRDefault="00F860B0" w:rsidP="00F860B0">
      <w:r>
        <w:t>An initial study with two commercially available ventilator systems was conducted to investigate possible ways forward for the measurement of wind noise insertion gains in TS 103 640. The sizes of the two systems differ clearly: the smaller one could be integrated in typical measurement chambers</w:t>
      </w:r>
      <w:r w:rsidR="007F3E89">
        <w:t>,</w:t>
      </w:r>
      <w:r>
        <w:t xml:space="preserve"> while the larger one would require a specialized measurement environment. It was observed that only the larger setup was able to fulfil the requirement for a spatially homogenous distribution of wind speeds. An analysis of wind noise showed that while there are similarities between the resulting noises, the two wind generator setups are not equivalent.</w:t>
      </w:r>
    </w:p>
    <w:p w14:paraId="5E643D4B" w14:textId="06C24F99" w:rsidR="00552D6A" w:rsidRDefault="002F581A" w:rsidP="001A5308">
      <w:r>
        <w:t xml:space="preserve">Accordingly, it is very relevant to </w:t>
      </w:r>
      <w:r w:rsidR="001A5308">
        <w:t>specify</w:t>
      </w:r>
      <w:r>
        <w:t xml:space="preserve"> the use cases or terminal categories, respectively, for which wind noise tests should be considered in ATIAS. For some </w:t>
      </w:r>
      <w:r w:rsidR="008D20BD">
        <w:t xml:space="preserve">types of </w:t>
      </w:r>
      <w:r>
        <w:t xml:space="preserve">terminals (e.g., headsets), there is a strong relation to the ongoing work in ETSI </w:t>
      </w:r>
      <w:r w:rsidR="006E601E">
        <w:t xml:space="preserve">STQ, </w:t>
      </w:r>
      <w:r>
        <w:t>while for others (e.g., all variations of hands-free terminals – hand-held, desktop)</w:t>
      </w:r>
      <w:r w:rsidR="001A5308">
        <w:t xml:space="preserve">, the requirements and the sheer physical size of the device differs clearly. Thus, the source proposes to </w:t>
      </w:r>
      <w:r w:rsidR="006E601E">
        <w:t>first</w:t>
      </w:r>
      <w:r w:rsidR="006E601E">
        <w:t xml:space="preserve"> </w:t>
      </w:r>
      <w:r w:rsidR="001A5308">
        <w:t xml:space="preserve">discuss </w:t>
      </w:r>
      <w:r w:rsidR="006E601E">
        <w:t xml:space="preserve">and clearly define </w:t>
      </w:r>
      <w:r w:rsidR="001A5308">
        <w:t xml:space="preserve">the scope for </w:t>
      </w:r>
      <w:r w:rsidR="006E601E">
        <w:t xml:space="preserve">such </w:t>
      </w:r>
      <w:r w:rsidR="001A5308">
        <w:t>wind noise tests</w:t>
      </w:r>
      <w:r w:rsidR="00E3376E">
        <w:t xml:space="preserve">, before </w:t>
      </w:r>
      <w:r w:rsidR="006E601E">
        <w:t>drafting test methods and requirements</w:t>
      </w:r>
      <w:r w:rsidR="001A5308">
        <w:t>.</w:t>
      </w:r>
    </w:p>
    <w:p w14:paraId="2A8F3448" w14:textId="52D57929" w:rsidR="00552D6A" w:rsidRDefault="00552D6A">
      <w:pPr>
        <w:overflowPunct/>
        <w:autoSpaceDE/>
        <w:autoSpaceDN/>
        <w:adjustRightInd/>
        <w:spacing w:after="0"/>
        <w:textAlignment w:val="auto"/>
      </w:pPr>
      <w:r>
        <w:br w:type="page"/>
      </w:r>
    </w:p>
    <w:p w14:paraId="44BF136F" w14:textId="77777777" w:rsidR="00552D6A" w:rsidRPr="00736146" w:rsidRDefault="00552D6A" w:rsidP="00552D6A">
      <w:pPr>
        <w:pStyle w:val="Heading1"/>
      </w:pPr>
      <w:r>
        <w:lastRenderedPageBreak/>
        <w:t>References</w:t>
      </w:r>
    </w:p>
    <w:p w14:paraId="3F67C23A" w14:textId="77777777" w:rsidR="002937E9" w:rsidRDefault="00552D6A" w:rsidP="001C6466">
      <w:pPr>
        <w:rPr>
          <w:rFonts w:ascii="CG Times (WN)" w:hAnsi="CG Times (WN)"/>
          <w:noProof/>
          <w:lang w:val="en-US"/>
        </w:rPr>
      </w:pPr>
      <w:r>
        <w:fldChar w:fldCharType="begin"/>
      </w:r>
      <w:r>
        <w:rPr>
          <w:lang w:val="de-DE"/>
        </w:rPr>
        <w:instrText xml:space="preserve"> BIBLIOGRAPHY  \l 1031 </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09"/>
        <w:gridCol w:w="9330"/>
      </w:tblGrid>
      <w:tr w:rsidR="002937E9" w14:paraId="7C438A92" w14:textId="77777777">
        <w:trPr>
          <w:divId w:val="320351410"/>
          <w:tblCellSpacing w:w="15" w:type="dxa"/>
        </w:trPr>
        <w:tc>
          <w:tcPr>
            <w:tcW w:w="50" w:type="pct"/>
            <w:hideMark/>
          </w:tcPr>
          <w:p w14:paraId="45BE4DDC" w14:textId="16C284A7" w:rsidR="002937E9" w:rsidRDefault="002937E9">
            <w:pPr>
              <w:pStyle w:val="Bibliography"/>
              <w:rPr>
                <w:noProof/>
                <w:sz w:val="24"/>
                <w:szCs w:val="24"/>
                <w:lang w:val="de-DE"/>
              </w:rPr>
            </w:pPr>
            <w:r>
              <w:rPr>
                <w:noProof/>
                <w:lang w:val="de-DE"/>
              </w:rPr>
              <w:t xml:space="preserve">[1] </w:t>
            </w:r>
          </w:p>
        </w:tc>
        <w:tc>
          <w:tcPr>
            <w:tcW w:w="0" w:type="auto"/>
            <w:hideMark/>
          </w:tcPr>
          <w:p w14:paraId="30BDCBE3" w14:textId="77777777" w:rsidR="002937E9" w:rsidRDefault="002937E9">
            <w:pPr>
              <w:pStyle w:val="Bibliography"/>
              <w:rPr>
                <w:noProof/>
                <w:lang w:val="de-DE"/>
              </w:rPr>
            </w:pPr>
            <w:r>
              <w:rPr>
                <w:noProof/>
                <w:lang w:val="de-DE"/>
              </w:rPr>
              <w:t>3GPP SA4 S4-221353, „Proposal of wind noise test in ATIAS,“ Beijing Xiaomi Mobile Software Co., Ltd, 2022.</w:t>
            </w:r>
          </w:p>
        </w:tc>
      </w:tr>
      <w:tr w:rsidR="002937E9" w14:paraId="2D27EB6F" w14:textId="77777777">
        <w:trPr>
          <w:divId w:val="320351410"/>
          <w:tblCellSpacing w:w="15" w:type="dxa"/>
        </w:trPr>
        <w:tc>
          <w:tcPr>
            <w:tcW w:w="50" w:type="pct"/>
            <w:hideMark/>
          </w:tcPr>
          <w:p w14:paraId="4627EB57" w14:textId="77777777" w:rsidR="002937E9" w:rsidRDefault="002937E9">
            <w:pPr>
              <w:pStyle w:val="Bibliography"/>
              <w:rPr>
                <w:noProof/>
                <w:lang w:val="de-DE"/>
              </w:rPr>
            </w:pPr>
            <w:r>
              <w:rPr>
                <w:noProof/>
                <w:lang w:val="de-DE"/>
              </w:rPr>
              <w:t xml:space="preserve">[2] </w:t>
            </w:r>
          </w:p>
        </w:tc>
        <w:tc>
          <w:tcPr>
            <w:tcW w:w="0" w:type="auto"/>
            <w:hideMark/>
          </w:tcPr>
          <w:p w14:paraId="047C3C74" w14:textId="77777777" w:rsidR="002937E9" w:rsidRDefault="002937E9">
            <w:pPr>
              <w:pStyle w:val="Bibliography"/>
              <w:rPr>
                <w:noProof/>
                <w:lang w:val="de-DE"/>
              </w:rPr>
            </w:pPr>
            <w:r>
              <w:rPr>
                <w:noProof/>
                <w:lang w:val="de-DE"/>
              </w:rPr>
              <w:t>ETSI TS 103 640 v1.2.1, „Test Methods and Performance Requirements for Active Noise Cancellation Headsets and other Earphones,“ 2022.</w:t>
            </w:r>
          </w:p>
        </w:tc>
      </w:tr>
      <w:tr w:rsidR="002937E9" w14:paraId="6D7F1E3F" w14:textId="77777777">
        <w:trPr>
          <w:divId w:val="320351410"/>
          <w:tblCellSpacing w:w="15" w:type="dxa"/>
        </w:trPr>
        <w:tc>
          <w:tcPr>
            <w:tcW w:w="50" w:type="pct"/>
            <w:hideMark/>
          </w:tcPr>
          <w:p w14:paraId="6F7FCB20" w14:textId="77777777" w:rsidR="002937E9" w:rsidRDefault="002937E9">
            <w:pPr>
              <w:pStyle w:val="Bibliography"/>
              <w:rPr>
                <w:noProof/>
                <w:lang w:val="de-DE"/>
              </w:rPr>
            </w:pPr>
            <w:r>
              <w:rPr>
                <w:noProof/>
                <w:lang w:val="de-DE"/>
              </w:rPr>
              <w:t xml:space="preserve">[3] </w:t>
            </w:r>
          </w:p>
        </w:tc>
        <w:tc>
          <w:tcPr>
            <w:tcW w:w="0" w:type="auto"/>
            <w:hideMark/>
          </w:tcPr>
          <w:p w14:paraId="14A0879C" w14:textId="77777777" w:rsidR="002937E9" w:rsidRDefault="002937E9">
            <w:pPr>
              <w:pStyle w:val="Bibliography"/>
              <w:rPr>
                <w:noProof/>
                <w:lang w:val="de-DE"/>
              </w:rPr>
            </w:pPr>
            <w:r>
              <w:rPr>
                <w:noProof/>
                <w:lang w:val="de-DE"/>
              </w:rPr>
              <w:t>Draft of ETSI TS 103 640 v1.1.5, „Test Methods and Performance Requirements for Active Noise Cancellation Headsets and other Earphones,“ 2022.</w:t>
            </w:r>
          </w:p>
        </w:tc>
      </w:tr>
    </w:tbl>
    <w:p w14:paraId="40B84807" w14:textId="77777777" w:rsidR="002937E9" w:rsidRDefault="002937E9">
      <w:pPr>
        <w:divId w:val="320351410"/>
        <w:rPr>
          <w:noProof/>
        </w:rPr>
      </w:pPr>
    </w:p>
    <w:p w14:paraId="6295ECEA" w14:textId="52C3FE32" w:rsidR="00552D6A" w:rsidRPr="001C6466" w:rsidRDefault="00552D6A" w:rsidP="001C6466">
      <w:r>
        <w:fldChar w:fldCharType="end"/>
      </w:r>
    </w:p>
    <w:sectPr w:rsidR="00552D6A" w:rsidRPr="001C6466">
      <w:headerReference w:type="even" r:id="rId17"/>
      <w:headerReference w:type="default" r:id="rId18"/>
      <w:footerReference w:type="default" r:id="rId19"/>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10ECA6" w14:textId="77777777" w:rsidR="00700801" w:rsidRDefault="00700801">
      <w:pPr>
        <w:spacing w:after="0"/>
      </w:pPr>
      <w:r>
        <w:separator/>
      </w:r>
    </w:p>
  </w:endnote>
  <w:endnote w:type="continuationSeparator" w:id="0">
    <w:p w14:paraId="14CEB34D" w14:textId="77777777" w:rsidR="00700801" w:rsidRDefault="0070080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E8719D" w14:textId="77777777" w:rsidR="00571484" w:rsidRPr="00DA7FD6" w:rsidRDefault="00571484" w:rsidP="00DA7FD6">
    <w:pPr>
      <w:widowControl w:val="0"/>
      <w:tabs>
        <w:tab w:val="center" w:pos="4320"/>
        <w:tab w:val="right" w:pos="9360"/>
      </w:tabs>
      <w:overflowPunct/>
      <w:autoSpaceDE/>
      <w:autoSpaceDN/>
      <w:adjustRightInd/>
      <w:spacing w:after="0" w:line="240" w:lineRule="atLeast"/>
      <w:jc w:val="right"/>
      <w:textAlignment w:val="auto"/>
      <w:rPr>
        <w:rFonts w:ascii="Arial" w:eastAsia="SimSun" w:hAnsi="Arial"/>
        <w:sz w:val="18"/>
      </w:rPr>
    </w:pPr>
    <w:r w:rsidRPr="00DA7FD6">
      <w:rPr>
        <w:rFonts w:ascii="Arial" w:eastAsia="SimSun" w:hAnsi="Arial"/>
        <w:b/>
        <w:sz w:val="18"/>
      </w:rPr>
      <w:t xml:space="preserve">Page: </w:t>
    </w:r>
    <w:r w:rsidRPr="00DA7FD6">
      <w:rPr>
        <w:rFonts w:ascii="Arial" w:eastAsia="SimSun" w:hAnsi="Arial"/>
        <w:b/>
        <w:sz w:val="18"/>
      </w:rPr>
      <w:fldChar w:fldCharType="begin"/>
    </w:r>
    <w:r w:rsidRPr="00DA7FD6">
      <w:rPr>
        <w:rFonts w:ascii="Arial" w:eastAsia="SimSun" w:hAnsi="Arial"/>
        <w:b/>
        <w:sz w:val="18"/>
      </w:rPr>
      <w:instrText xml:space="preserve"> PAGE </w:instrText>
    </w:r>
    <w:r w:rsidRPr="00DA7FD6">
      <w:rPr>
        <w:rFonts w:ascii="Arial" w:eastAsia="SimSun" w:hAnsi="Arial"/>
        <w:b/>
        <w:sz w:val="18"/>
      </w:rPr>
      <w:fldChar w:fldCharType="separate"/>
    </w:r>
    <w:r w:rsidR="0092662F">
      <w:rPr>
        <w:rFonts w:ascii="Arial" w:eastAsia="SimSun" w:hAnsi="Arial"/>
        <w:b/>
        <w:noProof/>
        <w:sz w:val="18"/>
      </w:rPr>
      <w:t>1</w:t>
    </w:r>
    <w:r w:rsidRPr="00DA7FD6">
      <w:rPr>
        <w:rFonts w:ascii="Arial" w:eastAsia="SimSun" w:hAnsi="Arial"/>
        <w:b/>
        <w:sz w:val="18"/>
      </w:rPr>
      <w:fldChar w:fldCharType="end"/>
    </w:r>
    <w:r w:rsidRPr="00DA7FD6">
      <w:rPr>
        <w:rFonts w:ascii="Arial" w:eastAsia="SimSun" w:hAnsi="Arial"/>
        <w:b/>
        <w:sz w:val="18"/>
      </w:rPr>
      <w:t>/</w:t>
    </w:r>
    <w:r w:rsidRPr="00DA7FD6">
      <w:rPr>
        <w:rFonts w:ascii="Arial" w:eastAsia="SimSun" w:hAnsi="Arial"/>
        <w:b/>
        <w:sz w:val="18"/>
      </w:rPr>
      <w:fldChar w:fldCharType="begin"/>
    </w:r>
    <w:r w:rsidRPr="00DA7FD6">
      <w:rPr>
        <w:rFonts w:ascii="Arial" w:eastAsia="SimSun" w:hAnsi="Arial"/>
        <w:b/>
        <w:sz w:val="18"/>
      </w:rPr>
      <w:instrText xml:space="preserve"> NUMPAGES </w:instrText>
    </w:r>
    <w:r w:rsidRPr="00DA7FD6">
      <w:rPr>
        <w:rFonts w:ascii="Arial" w:eastAsia="SimSun" w:hAnsi="Arial"/>
        <w:b/>
        <w:sz w:val="18"/>
      </w:rPr>
      <w:fldChar w:fldCharType="separate"/>
    </w:r>
    <w:r w:rsidR="0092662F">
      <w:rPr>
        <w:rFonts w:ascii="Arial" w:eastAsia="SimSun" w:hAnsi="Arial"/>
        <w:b/>
        <w:noProof/>
        <w:sz w:val="18"/>
      </w:rPr>
      <w:t>1</w:t>
    </w:r>
    <w:r w:rsidRPr="00DA7FD6">
      <w:rPr>
        <w:rFonts w:ascii="Arial" w:eastAsia="SimSun" w:hAnsi="Arial"/>
        <w:b/>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EC1B32" w14:textId="77777777" w:rsidR="00700801" w:rsidRDefault="00700801">
      <w:pPr>
        <w:spacing w:after="0"/>
      </w:pPr>
      <w:r>
        <w:separator/>
      </w:r>
    </w:p>
  </w:footnote>
  <w:footnote w:type="continuationSeparator" w:id="0">
    <w:p w14:paraId="3C7E1DCE" w14:textId="77777777" w:rsidR="00700801" w:rsidRDefault="0070080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7017C2" w14:textId="77777777" w:rsidR="00571484" w:rsidRDefault="00571484">
    <w:r>
      <w:t xml:space="preserve">Page </w:t>
    </w:r>
    <w:r>
      <w:fldChar w:fldCharType="begin"/>
    </w:r>
    <w:r>
      <w:instrText>PAGE</w:instrText>
    </w:r>
    <w:r>
      <w:fldChar w:fldCharType="separate"/>
    </w:r>
    <w:r>
      <w:t>4</w:t>
    </w:r>
    <w:r>
      <w:fldChar w:fldCharType="end"/>
    </w:r>
    <w:r>
      <w:br/>
      <w:t>Draft prETS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7832C6" w14:textId="5C4CC37B" w:rsidR="00080B6C" w:rsidRDefault="00080B6C" w:rsidP="00080B6C">
    <w:pPr>
      <w:pStyle w:val="CRCoverPage"/>
      <w:tabs>
        <w:tab w:val="right" w:pos="9639"/>
      </w:tabs>
      <w:spacing w:after="0"/>
      <w:rPr>
        <w:b/>
        <w:i/>
        <w:noProof/>
        <w:sz w:val="28"/>
      </w:rPr>
    </w:pPr>
    <w:r>
      <w:rPr>
        <w:b/>
        <w:noProof/>
        <w:sz w:val="24"/>
      </w:rPr>
      <w:t>3GPP TSG-</w:t>
    </w:r>
    <w:fldSimple w:instr=" DOCPROPERTY  TSG/WGRef  \* MERGEFORMAT ">
      <w:r>
        <w:rPr>
          <w:b/>
          <w:noProof/>
          <w:sz w:val="24"/>
        </w:rPr>
        <w:t>SA4</w:t>
      </w:r>
    </w:fldSimple>
    <w:r>
      <w:rPr>
        <w:b/>
        <w:noProof/>
        <w:sz w:val="24"/>
      </w:rPr>
      <w:t xml:space="preserve"> Meeting #</w:t>
    </w:r>
    <w:fldSimple w:instr=" DOCPROPERTY  MtgSeq  \* MERGEFORMAT ">
      <w:r w:rsidRPr="00EB09B7">
        <w:rPr>
          <w:b/>
          <w:noProof/>
          <w:sz w:val="24"/>
        </w:rPr>
        <w:t>122</w:t>
      </w:r>
    </w:fldSimple>
    <w:fldSimple w:instr=" DOCPROPERTY  MtgTitle  \* MERGEFORMAT "/>
    <w:r>
      <w:rPr>
        <w:b/>
        <w:i/>
        <w:noProof/>
        <w:sz w:val="28"/>
      </w:rPr>
      <w:tab/>
    </w:r>
    <w:fldSimple w:instr=" DOCPROPERTY  Tdoc#  \* MERGEFORMAT ">
      <w:r w:rsidRPr="00E13F3D">
        <w:rPr>
          <w:b/>
          <w:i/>
          <w:noProof/>
          <w:sz w:val="28"/>
        </w:rPr>
        <w:t>S4-23003</w:t>
      </w:r>
      <w:r>
        <w:rPr>
          <w:b/>
          <w:i/>
          <w:noProof/>
          <w:sz w:val="28"/>
        </w:rPr>
        <w:t>5</w:t>
      </w:r>
    </w:fldSimple>
  </w:p>
  <w:p w14:paraId="55BF11A6" w14:textId="2365B610" w:rsidR="00571484" w:rsidRPr="00080B6C" w:rsidRDefault="00000000" w:rsidP="00080B6C">
    <w:pPr>
      <w:pStyle w:val="CRCoverPage"/>
      <w:outlineLvl w:val="0"/>
      <w:rPr>
        <w:b/>
        <w:noProof/>
        <w:sz w:val="24"/>
      </w:rPr>
    </w:pPr>
    <w:fldSimple w:instr=" DOCPROPERTY  Location  \* MERGEFORMAT ">
      <w:r w:rsidR="00080B6C" w:rsidRPr="00BA51D9">
        <w:rPr>
          <w:b/>
          <w:noProof/>
          <w:sz w:val="24"/>
        </w:rPr>
        <w:t>Athens</w:t>
      </w:r>
    </w:fldSimple>
    <w:r w:rsidR="00080B6C">
      <w:rPr>
        <w:b/>
        <w:noProof/>
        <w:sz w:val="24"/>
      </w:rPr>
      <w:t xml:space="preserve">, </w:t>
    </w:r>
    <w:fldSimple w:instr=" DOCPROPERTY  Country  \* MERGEFORMAT ">
      <w:r w:rsidR="00080B6C" w:rsidRPr="00BA51D9">
        <w:rPr>
          <w:b/>
          <w:noProof/>
          <w:sz w:val="24"/>
        </w:rPr>
        <w:t>Greece</w:t>
      </w:r>
    </w:fldSimple>
    <w:r w:rsidR="00080B6C">
      <w:rPr>
        <w:b/>
        <w:noProof/>
        <w:sz w:val="24"/>
      </w:rPr>
      <w:t xml:space="preserve">, </w:t>
    </w:r>
    <w:fldSimple w:instr=" DOCPROPERTY  StartDate  \* MERGEFORMAT ">
      <w:r w:rsidR="00080B6C" w:rsidRPr="00BA51D9">
        <w:rPr>
          <w:b/>
          <w:noProof/>
          <w:sz w:val="24"/>
        </w:rPr>
        <w:t>20th Feb 2023</w:t>
      </w:r>
    </w:fldSimple>
    <w:r w:rsidR="00080B6C">
      <w:rPr>
        <w:b/>
        <w:noProof/>
        <w:sz w:val="24"/>
      </w:rPr>
      <w:t xml:space="preserve"> - </w:t>
    </w:r>
    <w:fldSimple w:instr=" DOCPROPERTY  EndDate  \* MERGEFORMAT ">
      <w:r w:rsidR="00080B6C" w:rsidRPr="00BA51D9">
        <w:rPr>
          <w:b/>
          <w:noProof/>
          <w:sz w:val="24"/>
        </w:rPr>
        <w:t>24th Feb 2023</w:t>
      </w:r>
    </w:fldSimple>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C3214BD"/>
    <w:multiLevelType w:val="hybridMultilevel"/>
    <w:tmpl w:val="8D8A70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554F0781"/>
    <w:multiLevelType w:val="hybridMultilevel"/>
    <w:tmpl w:val="26F01D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6FD75D83"/>
    <w:multiLevelType w:val="hybridMultilevel"/>
    <w:tmpl w:val="5E484FC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 w15:restartNumberingAfterBreak="0">
    <w:nsid w:val="73292DFE"/>
    <w:multiLevelType w:val="hybridMultilevel"/>
    <w:tmpl w:val="67CEC6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645857718">
    <w:abstractNumId w:val="3"/>
  </w:num>
  <w:num w:numId="2" w16cid:durableId="1653489755">
    <w:abstractNumId w:val="0"/>
  </w:num>
  <w:num w:numId="3" w16cid:durableId="801463893">
    <w:abstractNumId w:val="1"/>
  </w:num>
  <w:num w:numId="4" w16cid:durableId="52036093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intFractionalCharacterWidth/>
  <w:hideSpellingErrors/>
  <w:attachedTemplate r:id="rId1"/>
  <w:linkStyles/>
  <w:defaultTabStop w:val="284"/>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A7FD6"/>
    <w:rsid w:val="00063308"/>
    <w:rsid w:val="00080B6C"/>
    <w:rsid w:val="001A5308"/>
    <w:rsid w:val="001C6466"/>
    <w:rsid w:val="0021176B"/>
    <w:rsid w:val="00267C3D"/>
    <w:rsid w:val="00281189"/>
    <w:rsid w:val="002937E9"/>
    <w:rsid w:val="002F581A"/>
    <w:rsid w:val="003E65FE"/>
    <w:rsid w:val="00552D6A"/>
    <w:rsid w:val="0056580F"/>
    <w:rsid w:val="00571484"/>
    <w:rsid w:val="00693146"/>
    <w:rsid w:val="0069679D"/>
    <w:rsid w:val="006D5353"/>
    <w:rsid w:val="006E601E"/>
    <w:rsid w:val="00700801"/>
    <w:rsid w:val="00722F4A"/>
    <w:rsid w:val="00753F5D"/>
    <w:rsid w:val="007D2D66"/>
    <w:rsid w:val="007F3E89"/>
    <w:rsid w:val="008D20BD"/>
    <w:rsid w:val="0092662F"/>
    <w:rsid w:val="009B1F9C"/>
    <w:rsid w:val="00A16991"/>
    <w:rsid w:val="00B36347"/>
    <w:rsid w:val="00D34A45"/>
    <w:rsid w:val="00DA7FD6"/>
    <w:rsid w:val="00E3376E"/>
    <w:rsid w:val="00E966D8"/>
    <w:rsid w:val="00EC0847"/>
    <w:rsid w:val="00F455E8"/>
    <w:rsid w:val="00F654E1"/>
    <w:rsid w:val="00F860B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61C97FB"/>
  <w15:chartTrackingRefBased/>
  <w15:docId w15:val="{F453431B-0780-463F-931A-A54A7DFF7F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pPr>
      <w:outlineLvl w:val="9"/>
    </w:pPr>
  </w:style>
  <w:style w:type="paragraph" w:styleId="ListNumber2">
    <w:name w:val="List Number 2"/>
    <w:basedOn w:val="ListNumber"/>
    <w:semiHidden/>
    <w:pPr>
      <w:ind w:left="851"/>
    </w:pPr>
  </w:style>
  <w:style w:type="paragraph" w:styleId="Header">
    <w:name w:val="header"/>
    <w:semiHidden/>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basedOn w:val="DefaultParagraphFont"/>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rPr>
      <w:b/>
    </w:rPr>
  </w:style>
  <w:style w:type="paragraph" w:customStyle="1" w:styleId="TAC">
    <w:name w:val="TAC"/>
    <w:basedOn w:val="TAL"/>
    <w:pPr>
      <w:jc w:val="center"/>
    </w:pPr>
  </w:style>
  <w:style w:type="paragraph" w:customStyle="1" w:styleId="TF">
    <w:name w:val="TF"/>
    <w:basedOn w:val="TH"/>
    <w:pPr>
      <w:keepNext w:val="0"/>
      <w:spacing w:before="0" w:after="240"/>
    </w:pPr>
  </w:style>
  <w:style w:type="paragraph" w:customStyle="1" w:styleId="NO">
    <w:name w:val="NO"/>
    <w:basedOn w:val="Normal"/>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semiHidden/>
    <w:pPr>
      <w:ind w:left="851"/>
    </w:pPr>
  </w:style>
  <w:style w:type="paragraph" w:styleId="ListBullet3">
    <w:name w:val="List Bullet 3"/>
    <w:basedOn w:val="ListBullet2"/>
    <w:semiHidden/>
    <w:pPr>
      <w:ind w:left="1135"/>
    </w:pPr>
  </w:style>
  <w:style w:type="paragraph" w:styleId="ListNumber">
    <w:name w:val="List Number"/>
    <w:basedOn w:val="List"/>
    <w:semiHidden/>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semiHidden/>
    <w:pPr>
      <w:ind w:left="851"/>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semiHidden/>
    <w:pPr>
      <w:ind w:left="1135"/>
    </w:pPr>
  </w:style>
  <w:style w:type="paragraph" w:styleId="List4">
    <w:name w:val="List 4"/>
    <w:basedOn w:val="List3"/>
    <w:semiHidden/>
    <w:pPr>
      <w:ind w:left="1418"/>
    </w:pPr>
  </w:style>
  <w:style w:type="paragraph" w:styleId="List5">
    <w:name w:val="List 5"/>
    <w:basedOn w:val="List4"/>
    <w:semiHidden/>
    <w:pPr>
      <w:ind w:left="1702"/>
    </w:pPr>
  </w:style>
  <w:style w:type="paragraph" w:customStyle="1" w:styleId="EditorsNote">
    <w:name w:val="Editor's Note"/>
    <w:basedOn w:val="NO"/>
    <w:rPr>
      <w:color w:val="FF0000"/>
    </w:rPr>
  </w:style>
  <w:style w:type="paragraph" w:styleId="List">
    <w:name w:val="List"/>
    <w:basedOn w:val="Normal"/>
    <w:semiHidden/>
    <w:pPr>
      <w:ind w:left="568" w:hanging="284"/>
    </w:pPr>
  </w:style>
  <w:style w:type="paragraph" w:styleId="ListBullet">
    <w:name w:val="List Bullet"/>
    <w:basedOn w:val="List"/>
    <w:semiHidden/>
  </w:style>
  <w:style w:type="paragraph" w:styleId="ListBullet4">
    <w:name w:val="List Bullet 4"/>
    <w:basedOn w:val="ListBullet3"/>
    <w:semiHidden/>
    <w:pPr>
      <w:ind w:left="1418"/>
    </w:pPr>
  </w:style>
  <w:style w:type="paragraph" w:styleId="ListBullet5">
    <w:name w:val="List Bullet 5"/>
    <w:basedOn w:val="ListBullet4"/>
    <w:semiHidden/>
    <w:pPr>
      <w:ind w:left="1702"/>
    </w:pPr>
  </w:style>
  <w:style w:type="paragraph" w:customStyle="1" w:styleId="B1">
    <w:name w:val="B1"/>
    <w:basedOn w:val="Lis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semiHidden/>
    <w:pPr>
      <w:jc w:val="center"/>
    </w:pPr>
    <w:rPr>
      <w:i/>
    </w:rPr>
  </w:style>
  <w:style w:type="paragraph" w:customStyle="1" w:styleId="ZTD">
    <w:name w:val="ZTD"/>
    <w:basedOn w:val="ZB"/>
    <w:pPr>
      <w:framePr w:hRule="auto" w:wrap="notBeside" w:y="852"/>
    </w:pPr>
    <w:rPr>
      <w:i w:val="0"/>
      <w:sz w:val="40"/>
    </w:rPr>
  </w:style>
  <w:style w:type="character" w:styleId="PlaceholderText">
    <w:name w:val="Placeholder Text"/>
    <w:basedOn w:val="DefaultParagraphFont"/>
    <w:uiPriority w:val="99"/>
    <w:semiHidden/>
    <w:rsid w:val="00A16991"/>
    <w:rPr>
      <w:color w:val="808080"/>
    </w:rPr>
  </w:style>
  <w:style w:type="paragraph" w:customStyle="1" w:styleId="CRCoverPage">
    <w:name w:val="CR Cover Page"/>
    <w:rsid w:val="00552D6A"/>
    <w:pPr>
      <w:spacing w:after="120"/>
    </w:pPr>
    <w:rPr>
      <w:rFonts w:ascii="Arial" w:hAnsi="Arial"/>
      <w:lang w:val="en-GB"/>
    </w:rPr>
  </w:style>
  <w:style w:type="paragraph" w:customStyle="1" w:styleId="FL">
    <w:name w:val="FL"/>
    <w:basedOn w:val="Normal"/>
    <w:rsid w:val="00F860B0"/>
    <w:pPr>
      <w:keepNext/>
      <w:keepLines/>
      <w:spacing w:before="60" w:after="0"/>
      <w:jc w:val="center"/>
    </w:pPr>
    <w:rPr>
      <w:rFonts w:ascii="Arial" w:hAnsi="Arial"/>
      <w:b/>
    </w:rPr>
  </w:style>
  <w:style w:type="character" w:customStyle="1" w:styleId="Heading1Char">
    <w:name w:val="Heading 1 Char"/>
    <w:basedOn w:val="DefaultParagraphFont"/>
    <w:link w:val="Heading1"/>
    <w:rsid w:val="00F860B0"/>
    <w:rPr>
      <w:rFonts w:ascii="Arial" w:hAnsi="Arial"/>
      <w:sz w:val="36"/>
      <w:lang w:val="en-GB"/>
    </w:rPr>
  </w:style>
  <w:style w:type="character" w:customStyle="1" w:styleId="Heading2Char">
    <w:name w:val="Heading 2 Char"/>
    <w:basedOn w:val="DefaultParagraphFont"/>
    <w:link w:val="Heading2"/>
    <w:rsid w:val="00F860B0"/>
    <w:rPr>
      <w:rFonts w:ascii="Arial" w:hAnsi="Arial"/>
      <w:sz w:val="32"/>
      <w:lang w:val="en-GB"/>
    </w:rPr>
  </w:style>
  <w:style w:type="table" w:styleId="TableGrid">
    <w:name w:val="Table Grid"/>
    <w:basedOn w:val="TableNormal"/>
    <w:uiPriority w:val="59"/>
    <w:rsid w:val="00F860B0"/>
    <w:rPr>
      <w:rFonts w:asciiTheme="minorHAnsi" w:eastAsiaTheme="minorHAnsi" w:hAnsiTheme="minorHAnsi" w:cstheme="minorBid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F860B0"/>
    <w:pPr>
      <w:spacing w:after="0"/>
      <w:ind w:left="720"/>
      <w:contextualSpacing/>
    </w:pPr>
  </w:style>
  <w:style w:type="paragraph" w:styleId="Bibliography">
    <w:name w:val="Bibliography"/>
    <w:basedOn w:val="Normal"/>
    <w:next w:val="Normal"/>
    <w:uiPriority w:val="37"/>
    <w:unhideWhenUsed/>
    <w:rsid w:val="00F860B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4996836">
      <w:bodyDiv w:val="1"/>
      <w:marLeft w:val="0"/>
      <w:marRight w:val="0"/>
      <w:marTop w:val="0"/>
      <w:marBottom w:val="0"/>
      <w:divBdr>
        <w:top w:val="none" w:sz="0" w:space="0" w:color="auto"/>
        <w:left w:val="none" w:sz="0" w:space="0" w:color="auto"/>
        <w:bottom w:val="none" w:sz="0" w:space="0" w:color="auto"/>
        <w:right w:val="none" w:sz="0" w:space="0" w:color="auto"/>
      </w:divBdr>
    </w:div>
    <w:div w:id="195697823">
      <w:bodyDiv w:val="1"/>
      <w:marLeft w:val="0"/>
      <w:marRight w:val="0"/>
      <w:marTop w:val="0"/>
      <w:marBottom w:val="0"/>
      <w:divBdr>
        <w:top w:val="none" w:sz="0" w:space="0" w:color="auto"/>
        <w:left w:val="none" w:sz="0" w:space="0" w:color="auto"/>
        <w:bottom w:val="none" w:sz="0" w:space="0" w:color="auto"/>
        <w:right w:val="none" w:sz="0" w:space="0" w:color="auto"/>
      </w:divBdr>
    </w:div>
    <w:div w:id="229316018">
      <w:bodyDiv w:val="1"/>
      <w:marLeft w:val="0"/>
      <w:marRight w:val="0"/>
      <w:marTop w:val="0"/>
      <w:marBottom w:val="0"/>
      <w:divBdr>
        <w:top w:val="none" w:sz="0" w:space="0" w:color="auto"/>
        <w:left w:val="none" w:sz="0" w:space="0" w:color="auto"/>
        <w:bottom w:val="none" w:sz="0" w:space="0" w:color="auto"/>
        <w:right w:val="none" w:sz="0" w:space="0" w:color="auto"/>
      </w:divBdr>
    </w:div>
    <w:div w:id="320351410">
      <w:bodyDiv w:val="1"/>
      <w:marLeft w:val="0"/>
      <w:marRight w:val="0"/>
      <w:marTop w:val="0"/>
      <w:marBottom w:val="0"/>
      <w:divBdr>
        <w:top w:val="none" w:sz="0" w:space="0" w:color="auto"/>
        <w:left w:val="none" w:sz="0" w:space="0" w:color="auto"/>
        <w:bottom w:val="none" w:sz="0" w:space="0" w:color="auto"/>
        <w:right w:val="none" w:sz="0" w:space="0" w:color="auto"/>
      </w:divBdr>
    </w:div>
    <w:div w:id="326788985">
      <w:bodyDiv w:val="1"/>
      <w:marLeft w:val="0"/>
      <w:marRight w:val="0"/>
      <w:marTop w:val="0"/>
      <w:marBottom w:val="0"/>
      <w:divBdr>
        <w:top w:val="none" w:sz="0" w:space="0" w:color="auto"/>
        <w:left w:val="none" w:sz="0" w:space="0" w:color="auto"/>
        <w:bottom w:val="none" w:sz="0" w:space="0" w:color="auto"/>
        <w:right w:val="none" w:sz="0" w:space="0" w:color="auto"/>
      </w:divBdr>
    </w:div>
    <w:div w:id="545216123">
      <w:bodyDiv w:val="1"/>
      <w:marLeft w:val="0"/>
      <w:marRight w:val="0"/>
      <w:marTop w:val="0"/>
      <w:marBottom w:val="0"/>
      <w:divBdr>
        <w:top w:val="none" w:sz="0" w:space="0" w:color="auto"/>
        <w:left w:val="none" w:sz="0" w:space="0" w:color="auto"/>
        <w:bottom w:val="none" w:sz="0" w:space="0" w:color="auto"/>
        <w:right w:val="none" w:sz="0" w:space="0" w:color="auto"/>
      </w:divBdr>
    </w:div>
    <w:div w:id="598368019">
      <w:bodyDiv w:val="1"/>
      <w:marLeft w:val="0"/>
      <w:marRight w:val="0"/>
      <w:marTop w:val="0"/>
      <w:marBottom w:val="0"/>
      <w:divBdr>
        <w:top w:val="none" w:sz="0" w:space="0" w:color="auto"/>
        <w:left w:val="none" w:sz="0" w:space="0" w:color="auto"/>
        <w:bottom w:val="none" w:sz="0" w:space="0" w:color="auto"/>
        <w:right w:val="none" w:sz="0" w:space="0" w:color="auto"/>
      </w:divBdr>
    </w:div>
    <w:div w:id="631593689">
      <w:bodyDiv w:val="1"/>
      <w:marLeft w:val="0"/>
      <w:marRight w:val="0"/>
      <w:marTop w:val="0"/>
      <w:marBottom w:val="0"/>
      <w:divBdr>
        <w:top w:val="none" w:sz="0" w:space="0" w:color="auto"/>
        <w:left w:val="none" w:sz="0" w:space="0" w:color="auto"/>
        <w:bottom w:val="none" w:sz="0" w:space="0" w:color="auto"/>
        <w:right w:val="none" w:sz="0" w:space="0" w:color="auto"/>
      </w:divBdr>
    </w:div>
    <w:div w:id="679549068">
      <w:bodyDiv w:val="1"/>
      <w:marLeft w:val="0"/>
      <w:marRight w:val="0"/>
      <w:marTop w:val="0"/>
      <w:marBottom w:val="0"/>
      <w:divBdr>
        <w:top w:val="none" w:sz="0" w:space="0" w:color="auto"/>
        <w:left w:val="none" w:sz="0" w:space="0" w:color="auto"/>
        <w:bottom w:val="none" w:sz="0" w:space="0" w:color="auto"/>
        <w:right w:val="none" w:sz="0" w:space="0" w:color="auto"/>
      </w:divBdr>
    </w:div>
    <w:div w:id="721908068">
      <w:bodyDiv w:val="1"/>
      <w:marLeft w:val="0"/>
      <w:marRight w:val="0"/>
      <w:marTop w:val="0"/>
      <w:marBottom w:val="0"/>
      <w:divBdr>
        <w:top w:val="none" w:sz="0" w:space="0" w:color="auto"/>
        <w:left w:val="none" w:sz="0" w:space="0" w:color="auto"/>
        <w:bottom w:val="none" w:sz="0" w:space="0" w:color="auto"/>
        <w:right w:val="none" w:sz="0" w:space="0" w:color="auto"/>
      </w:divBdr>
    </w:div>
    <w:div w:id="731663615">
      <w:bodyDiv w:val="1"/>
      <w:marLeft w:val="0"/>
      <w:marRight w:val="0"/>
      <w:marTop w:val="0"/>
      <w:marBottom w:val="0"/>
      <w:divBdr>
        <w:top w:val="none" w:sz="0" w:space="0" w:color="auto"/>
        <w:left w:val="none" w:sz="0" w:space="0" w:color="auto"/>
        <w:bottom w:val="none" w:sz="0" w:space="0" w:color="auto"/>
        <w:right w:val="none" w:sz="0" w:space="0" w:color="auto"/>
      </w:divBdr>
    </w:div>
    <w:div w:id="764108960">
      <w:bodyDiv w:val="1"/>
      <w:marLeft w:val="0"/>
      <w:marRight w:val="0"/>
      <w:marTop w:val="0"/>
      <w:marBottom w:val="0"/>
      <w:divBdr>
        <w:top w:val="none" w:sz="0" w:space="0" w:color="auto"/>
        <w:left w:val="none" w:sz="0" w:space="0" w:color="auto"/>
        <w:bottom w:val="none" w:sz="0" w:space="0" w:color="auto"/>
        <w:right w:val="none" w:sz="0" w:space="0" w:color="auto"/>
      </w:divBdr>
    </w:div>
    <w:div w:id="834422395">
      <w:bodyDiv w:val="1"/>
      <w:marLeft w:val="0"/>
      <w:marRight w:val="0"/>
      <w:marTop w:val="0"/>
      <w:marBottom w:val="0"/>
      <w:divBdr>
        <w:top w:val="none" w:sz="0" w:space="0" w:color="auto"/>
        <w:left w:val="none" w:sz="0" w:space="0" w:color="auto"/>
        <w:bottom w:val="none" w:sz="0" w:space="0" w:color="auto"/>
        <w:right w:val="none" w:sz="0" w:space="0" w:color="auto"/>
      </w:divBdr>
    </w:div>
    <w:div w:id="910887722">
      <w:bodyDiv w:val="1"/>
      <w:marLeft w:val="0"/>
      <w:marRight w:val="0"/>
      <w:marTop w:val="0"/>
      <w:marBottom w:val="0"/>
      <w:divBdr>
        <w:top w:val="none" w:sz="0" w:space="0" w:color="auto"/>
        <w:left w:val="none" w:sz="0" w:space="0" w:color="auto"/>
        <w:bottom w:val="none" w:sz="0" w:space="0" w:color="auto"/>
        <w:right w:val="none" w:sz="0" w:space="0" w:color="auto"/>
      </w:divBdr>
    </w:div>
    <w:div w:id="1017392672">
      <w:bodyDiv w:val="1"/>
      <w:marLeft w:val="0"/>
      <w:marRight w:val="0"/>
      <w:marTop w:val="0"/>
      <w:marBottom w:val="0"/>
      <w:divBdr>
        <w:top w:val="none" w:sz="0" w:space="0" w:color="auto"/>
        <w:left w:val="none" w:sz="0" w:space="0" w:color="auto"/>
        <w:bottom w:val="none" w:sz="0" w:space="0" w:color="auto"/>
        <w:right w:val="none" w:sz="0" w:space="0" w:color="auto"/>
      </w:divBdr>
    </w:div>
    <w:div w:id="1174539536">
      <w:bodyDiv w:val="1"/>
      <w:marLeft w:val="0"/>
      <w:marRight w:val="0"/>
      <w:marTop w:val="0"/>
      <w:marBottom w:val="0"/>
      <w:divBdr>
        <w:top w:val="none" w:sz="0" w:space="0" w:color="auto"/>
        <w:left w:val="none" w:sz="0" w:space="0" w:color="auto"/>
        <w:bottom w:val="none" w:sz="0" w:space="0" w:color="auto"/>
        <w:right w:val="none" w:sz="0" w:space="0" w:color="auto"/>
      </w:divBdr>
    </w:div>
    <w:div w:id="1186943704">
      <w:bodyDiv w:val="1"/>
      <w:marLeft w:val="0"/>
      <w:marRight w:val="0"/>
      <w:marTop w:val="0"/>
      <w:marBottom w:val="0"/>
      <w:divBdr>
        <w:top w:val="none" w:sz="0" w:space="0" w:color="auto"/>
        <w:left w:val="none" w:sz="0" w:space="0" w:color="auto"/>
        <w:bottom w:val="none" w:sz="0" w:space="0" w:color="auto"/>
        <w:right w:val="none" w:sz="0" w:space="0" w:color="auto"/>
      </w:divBdr>
    </w:div>
    <w:div w:id="1250579508">
      <w:bodyDiv w:val="1"/>
      <w:marLeft w:val="0"/>
      <w:marRight w:val="0"/>
      <w:marTop w:val="0"/>
      <w:marBottom w:val="0"/>
      <w:divBdr>
        <w:top w:val="none" w:sz="0" w:space="0" w:color="auto"/>
        <w:left w:val="none" w:sz="0" w:space="0" w:color="auto"/>
        <w:bottom w:val="none" w:sz="0" w:space="0" w:color="auto"/>
        <w:right w:val="none" w:sz="0" w:space="0" w:color="auto"/>
      </w:divBdr>
    </w:div>
    <w:div w:id="1266579091">
      <w:bodyDiv w:val="1"/>
      <w:marLeft w:val="0"/>
      <w:marRight w:val="0"/>
      <w:marTop w:val="0"/>
      <w:marBottom w:val="0"/>
      <w:divBdr>
        <w:top w:val="none" w:sz="0" w:space="0" w:color="auto"/>
        <w:left w:val="none" w:sz="0" w:space="0" w:color="auto"/>
        <w:bottom w:val="none" w:sz="0" w:space="0" w:color="auto"/>
        <w:right w:val="none" w:sz="0" w:space="0" w:color="auto"/>
      </w:divBdr>
    </w:div>
    <w:div w:id="1370305077">
      <w:bodyDiv w:val="1"/>
      <w:marLeft w:val="0"/>
      <w:marRight w:val="0"/>
      <w:marTop w:val="0"/>
      <w:marBottom w:val="0"/>
      <w:divBdr>
        <w:top w:val="none" w:sz="0" w:space="0" w:color="auto"/>
        <w:left w:val="none" w:sz="0" w:space="0" w:color="auto"/>
        <w:bottom w:val="none" w:sz="0" w:space="0" w:color="auto"/>
        <w:right w:val="none" w:sz="0" w:space="0" w:color="auto"/>
      </w:divBdr>
    </w:div>
    <w:div w:id="1454860285">
      <w:bodyDiv w:val="1"/>
      <w:marLeft w:val="0"/>
      <w:marRight w:val="0"/>
      <w:marTop w:val="0"/>
      <w:marBottom w:val="0"/>
      <w:divBdr>
        <w:top w:val="none" w:sz="0" w:space="0" w:color="auto"/>
        <w:left w:val="none" w:sz="0" w:space="0" w:color="auto"/>
        <w:bottom w:val="none" w:sz="0" w:space="0" w:color="auto"/>
        <w:right w:val="none" w:sz="0" w:space="0" w:color="auto"/>
      </w:divBdr>
    </w:div>
    <w:div w:id="1500150713">
      <w:bodyDiv w:val="1"/>
      <w:marLeft w:val="0"/>
      <w:marRight w:val="0"/>
      <w:marTop w:val="0"/>
      <w:marBottom w:val="0"/>
      <w:divBdr>
        <w:top w:val="none" w:sz="0" w:space="0" w:color="auto"/>
        <w:left w:val="none" w:sz="0" w:space="0" w:color="auto"/>
        <w:bottom w:val="none" w:sz="0" w:space="0" w:color="auto"/>
        <w:right w:val="none" w:sz="0" w:space="0" w:color="auto"/>
      </w:divBdr>
    </w:div>
    <w:div w:id="1545017273">
      <w:bodyDiv w:val="1"/>
      <w:marLeft w:val="0"/>
      <w:marRight w:val="0"/>
      <w:marTop w:val="0"/>
      <w:marBottom w:val="0"/>
      <w:divBdr>
        <w:top w:val="none" w:sz="0" w:space="0" w:color="auto"/>
        <w:left w:val="none" w:sz="0" w:space="0" w:color="auto"/>
        <w:bottom w:val="none" w:sz="0" w:space="0" w:color="auto"/>
        <w:right w:val="none" w:sz="0" w:space="0" w:color="auto"/>
      </w:divBdr>
    </w:div>
    <w:div w:id="1596472161">
      <w:bodyDiv w:val="1"/>
      <w:marLeft w:val="0"/>
      <w:marRight w:val="0"/>
      <w:marTop w:val="0"/>
      <w:marBottom w:val="0"/>
      <w:divBdr>
        <w:top w:val="none" w:sz="0" w:space="0" w:color="auto"/>
        <w:left w:val="none" w:sz="0" w:space="0" w:color="auto"/>
        <w:bottom w:val="none" w:sz="0" w:space="0" w:color="auto"/>
        <w:right w:val="none" w:sz="0" w:space="0" w:color="auto"/>
      </w:divBdr>
    </w:div>
    <w:div w:id="1749498923">
      <w:bodyDiv w:val="1"/>
      <w:marLeft w:val="0"/>
      <w:marRight w:val="0"/>
      <w:marTop w:val="0"/>
      <w:marBottom w:val="0"/>
      <w:divBdr>
        <w:top w:val="none" w:sz="0" w:space="0" w:color="auto"/>
        <w:left w:val="none" w:sz="0" w:space="0" w:color="auto"/>
        <w:bottom w:val="none" w:sz="0" w:space="0" w:color="auto"/>
        <w:right w:val="none" w:sz="0" w:space="0" w:color="auto"/>
      </w:divBdr>
    </w:div>
    <w:div w:id="1770737665">
      <w:bodyDiv w:val="1"/>
      <w:marLeft w:val="0"/>
      <w:marRight w:val="0"/>
      <w:marTop w:val="0"/>
      <w:marBottom w:val="0"/>
      <w:divBdr>
        <w:top w:val="none" w:sz="0" w:space="0" w:color="auto"/>
        <w:left w:val="none" w:sz="0" w:space="0" w:color="auto"/>
        <w:bottom w:val="none" w:sz="0" w:space="0" w:color="auto"/>
        <w:right w:val="none" w:sz="0" w:space="0" w:color="auto"/>
      </w:divBdr>
    </w:div>
    <w:div w:id="1772315466">
      <w:bodyDiv w:val="1"/>
      <w:marLeft w:val="0"/>
      <w:marRight w:val="0"/>
      <w:marTop w:val="0"/>
      <w:marBottom w:val="0"/>
      <w:divBdr>
        <w:top w:val="none" w:sz="0" w:space="0" w:color="auto"/>
        <w:left w:val="none" w:sz="0" w:space="0" w:color="auto"/>
        <w:bottom w:val="none" w:sz="0" w:space="0" w:color="auto"/>
        <w:right w:val="none" w:sz="0" w:space="0" w:color="auto"/>
      </w:divBdr>
    </w:div>
    <w:div w:id="1783303904">
      <w:bodyDiv w:val="1"/>
      <w:marLeft w:val="0"/>
      <w:marRight w:val="0"/>
      <w:marTop w:val="0"/>
      <w:marBottom w:val="0"/>
      <w:divBdr>
        <w:top w:val="none" w:sz="0" w:space="0" w:color="auto"/>
        <w:left w:val="none" w:sz="0" w:space="0" w:color="auto"/>
        <w:bottom w:val="none" w:sz="0" w:space="0" w:color="auto"/>
        <w:right w:val="none" w:sz="0" w:space="0" w:color="auto"/>
      </w:divBdr>
    </w:div>
    <w:div w:id="1859926513">
      <w:bodyDiv w:val="1"/>
      <w:marLeft w:val="0"/>
      <w:marRight w:val="0"/>
      <w:marTop w:val="0"/>
      <w:marBottom w:val="0"/>
      <w:divBdr>
        <w:top w:val="none" w:sz="0" w:space="0" w:color="auto"/>
        <w:left w:val="none" w:sz="0" w:space="0" w:color="auto"/>
        <w:bottom w:val="none" w:sz="0" w:space="0" w:color="auto"/>
        <w:right w:val="none" w:sz="0" w:space="0" w:color="auto"/>
      </w:divBdr>
    </w:div>
    <w:div w:id="1940479634">
      <w:bodyDiv w:val="1"/>
      <w:marLeft w:val="0"/>
      <w:marRight w:val="0"/>
      <w:marTop w:val="0"/>
      <w:marBottom w:val="0"/>
      <w:divBdr>
        <w:top w:val="none" w:sz="0" w:space="0" w:color="auto"/>
        <w:left w:val="none" w:sz="0" w:space="0" w:color="auto"/>
        <w:bottom w:val="none" w:sz="0" w:space="0" w:color="auto"/>
        <w:right w:val="none" w:sz="0" w:space="0" w:color="auto"/>
      </w:divBdr>
    </w:div>
    <w:div w:id="2082947647">
      <w:bodyDiv w:val="1"/>
      <w:marLeft w:val="0"/>
      <w:marRight w:val="0"/>
      <w:marTop w:val="0"/>
      <w:marBottom w:val="0"/>
      <w:divBdr>
        <w:top w:val="none" w:sz="0" w:space="0" w:color="auto"/>
        <w:left w:val="none" w:sz="0" w:space="0" w:color="auto"/>
        <w:bottom w:val="none" w:sz="0" w:space="0" w:color="auto"/>
        <w:right w:val="none" w:sz="0" w:space="0" w:color="auto"/>
      </w:divBdr>
    </w:div>
    <w:div w:id="2090425922">
      <w:bodyDiv w:val="1"/>
      <w:marLeft w:val="0"/>
      <w:marRight w:val="0"/>
      <w:marTop w:val="0"/>
      <w:marBottom w:val="0"/>
      <w:divBdr>
        <w:top w:val="none" w:sz="0" w:space="0" w:color="auto"/>
        <w:left w:val="none" w:sz="0" w:space="0" w:color="auto"/>
        <w:bottom w:val="none" w:sz="0" w:space="0" w:color="auto"/>
        <w:right w:val="none" w:sz="0" w:space="0" w:color="auto"/>
      </w:divBdr>
    </w:div>
    <w:div w:id="21311685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sv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sv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svg"/></Relationships>
</file>

<file path=word/_rels/settings.xml.rels><?xml version="1.0" encoding="UTF-8" standalone="yes"?>
<Relationships xmlns="http://schemas.openxmlformats.org/package/2006/relationships"><Relationship Id="rId1" Type="http://schemas.openxmlformats.org/officeDocument/2006/relationships/attachedTemplate" Target="file:///D:\svn\dokumente_telecom\Standardisierungsbeitr&#228;ge\3GPP\Template\3gpp_70.dot"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ETSITS103640v121</b:Tag>
    <b:SourceType>ElectronicSource</b:SourceType>
    <b:Guid>{1525D4B0-A133-4D23-8D2B-C143CC2BEB5A}</b:Guid>
    <b:Author>
      <b:Author>
        <b:Corporate>ETSI TS 103 640 v1.2.1</b:Corporate>
      </b:Author>
    </b:Author>
    <b:Title>Test Methods and Performance Requirements for Active Noise Cancellation Headsets and other Earphones</b:Title>
    <b:Year>2022</b:Year>
    <b:Month>03</b:Month>
    <b:RefOrder>2</b:RefOrder>
  </b:Source>
  <b:Source>
    <b:Tag>DRAFTETSITS103640v115</b:Tag>
    <b:SourceType>ElectronicSource</b:SourceType>
    <b:Guid>{FA59A0D8-1117-412F-B23A-2B9AC3039CCB}</b:Guid>
    <b:Author>
      <b:Author>
        <b:Corporate>Draft of ETSI TS 103 640 v1.1.5</b:Corporate>
      </b:Author>
    </b:Author>
    <b:Title>Test Methods and Performance Requirements for Active Noise Cancellation Headsets and other Earphones</b:Title>
    <b:Year>2022</b:Year>
    <b:RefOrder>3</b:RefOrder>
  </b:Source>
  <b:Source>
    <b:Tag>3GPPSA4S4221353</b:Tag>
    <b:SourceType>ElectronicSource</b:SourceType>
    <b:Guid>{89F2EFC5-E7B7-4F71-AFC1-5116EA71E403}</b:Guid>
    <b:Title>Proposal of wind noise test in ATIAS</b:Title>
    <b:Publisher>Beijing Xiaomi Mobile Software Co., Ltd</b:Publisher>
    <b:Author>
      <b:Author>
        <b:Corporate>3GPP SA4 S4-221353</b:Corporate>
      </b:Author>
    </b:Author>
    <b:Year>2022</b:Year>
    <b:Month>11</b:Month>
    <b:RefOrder>1</b:RefOrder>
  </b:Source>
</b:Sources>
</file>

<file path=customXml/itemProps1.xml><?xml version="1.0" encoding="utf-8"?>
<ds:datastoreItem xmlns:ds="http://schemas.openxmlformats.org/officeDocument/2006/customXml" ds:itemID="{3FBA28F3-21BD-4C69-A960-856C6375C8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8</Pages>
  <Words>1590</Words>
  <Characters>9068</Characters>
  <Application>Microsoft Office Word</Application>
  <DocSecurity>0</DocSecurity>
  <Lines>75</Lines>
  <Paragraphs>21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ETSI stylesheet (v.7.0)</vt:lpstr>
    </vt:vector>
  </TitlesOfParts>
  <Company>ETSI Sophia Antipolis</Company>
  <LinksUpToDate>false</LinksUpToDate>
  <CharactersWithSpaces>10637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Word for Windows 6.x &amp; 95+</dc:subject>
  <dc:creator>Reimes, Jan</dc:creator>
  <cp:keywords>ESA, style sheet, Winword</cp:keywords>
  <dc:description/>
  <cp:lastModifiedBy>Reimes, Jan</cp:lastModifiedBy>
  <cp:revision>12</cp:revision>
  <cp:lastPrinted>1899-12-31T23:00:00Z</cp:lastPrinted>
  <dcterms:created xsi:type="dcterms:W3CDTF">2023-01-11T15:21:00Z</dcterms:created>
  <dcterms:modified xsi:type="dcterms:W3CDTF">2023-02-14T14:10:00Z</dcterms:modified>
</cp:coreProperties>
</file>